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DE" w:rsidRDefault="00D91731">
      <w:pPr>
        <w:spacing w:line="360" w:lineRule="auto"/>
        <w:jc w:val="center"/>
        <w:rPr>
          <w:rFonts w:asciiTheme="majorHAnsi" w:hAnsiTheme="majorHAnsi"/>
          <w:b/>
          <w:sz w:val="20"/>
          <w:szCs w:val="20"/>
          <w:lang w:val="fr-CH"/>
        </w:rPr>
      </w:pPr>
      <w:r w:rsidRPr="00D91731">
        <w:rPr>
          <w:rFonts w:asciiTheme="majorHAnsi" w:hAnsiTheme="majorHAnsi"/>
          <w:b/>
          <w:sz w:val="20"/>
          <w:szCs w:val="20"/>
          <w:lang w:val="fr-CH"/>
        </w:rPr>
        <w:t xml:space="preserve">Séminaire international de </w:t>
      </w:r>
      <w:r w:rsidR="00F9768F" w:rsidRPr="003061F8">
        <w:rPr>
          <w:rFonts w:asciiTheme="majorHAnsi" w:hAnsiTheme="majorHAnsi"/>
          <w:b/>
          <w:sz w:val="20"/>
          <w:szCs w:val="20"/>
          <w:lang w:val="fr-CH"/>
        </w:rPr>
        <w:t>recherche</w:t>
      </w:r>
      <w:r w:rsidRPr="00D91731">
        <w:rPr>
          <w:rFonts w:asciiTheme="majorHAnsi" w:hAnsiTheme="majorHAnsi"/>
          <w:b/>
          <w:sz w:val="20"/>
          <w:szCs w:val="20"/>
          <w:lang w:val="fr-CH"/>
        </w:rPr>
        <w:t xml:space="preserve"> sur : </w:t>
      </w:r>
    </w:p>
    <w:p w:rsidR="001828DE" w:rsidRDefault="00D91731">
      <w:pPr>
        <w:spacing w:line="360" w:lineRule="auto"/>
        <w:jc w:val="center"/>
        <w:rPr>
          <w:rFonts w:asciiTheme="majorHAnsi" w:hAnsiTheme="majorHAnsi"/>
          <w:b/>
          <w:sz w:val="20"/>
          <w:szCs w:val="20"/>
          <w:lang w:val="fr-CH"/>
        </w:rPr>
      </w:pPr>
      <w:r w:rsidRPr="00D91731">
        <w:rPr>
          <w:rFonts w:asciiTheme="majorHAnsi" w:hAnsiTheme="majorHAnsi"/>
          <w:b/>
          <w:sz w:val="20"/>
          <w:szCs w:val="20"/>
          <w:lang w:val="fr-CH"/>
        </w:rPr>
        <w:t>« La gestion des ressources naturelles dans les statuts d’autonomie »</w:t>
      </w:r>
    </w:p>
    <w:p w:rsidR="001828DE" w:rsidRDefault="00D91731">
      <w:pPr>
        <w:spacing w:line="360" w:lineRule="auto"/>
        <w:jc w:val="center"/>
        <w:rPr>
          <w:rFonts w:asciiTheme="majorHAnsi" w:hAnsiTheme="majorHAnsi"/>
          <w:b/>
          <w:sz w:val="20"/>
          <w:szCs w:val="20"/>
          <w:lang w:val="fr-CH"/>
        </w:rPr>
      </w:pPr>
      <w:r w:rsidRPr="00D91731">
        <w:rPr>
          <w:rFonts w:asciiTheme="majorHAnsi" w:hAnsiTheme="majorHAnsi"/>
          <w:b/>
          <w:sz w:val="20"/>
          <w:szCs w:val="20"/>
          <w:lang w:val="fr-CH"/>
        </w:rPr>
        <w:t>Genève, 4 juin 2012</w:t>
      </w:r>
    </w:p>
    <w:p w:rsidR="001828DE" w:rsidRDefault="001828DE">
      <w:pPr>
        <w:spacing w:line="360" w:lineRule="auto"/>
        <w:jc w:val="center"/>
        <w:rPr>
          <w:rFonts w:asciiTheme="majorHAnsi" w:hAnsiTheme="majorHAnsi"/>
          <w:b/>
          <w:sz w:val="20"/>
          <w:szCs w:val="20"/>
          <w:lang w:val="fr-CH"/>
        </w:rPr>
      </w:pPr>
    </w:p>
    <w:p w:rsidR="001828DE" w:rsidRDefault="00D91731">
      <w:pPr>
        <w:spacing w:line="360" w:lineRule="auto"/>
        <w:jc w:val="center"/>
        <w:rPr>
          <w:rFonts w:asciiTheme="majorHAnsi" w:hAnsiTheme="majorHAnsi"/>
          <w:b/>
          <w:smallCaps/>
          <w:sz w:val="20"/>
          <w:szCs w:val="20"/>
          <w:lang w:val="fr-CH"/>
        </w:rPr>
      </w:pPr>
      <w:r w:rsidRPr="00D91731">
        <w:rPr>
          <w:rFonts w:asciiTheme="majorHAnsi" w:hAnsiTheme="majorHAnsi"/>
          <w:b/>
          <w:smallCaps/>
          <w:sz w:val="20"/>
          <w:szCs w:val="20"/>
          <w:lang w:val="fr-CH"/>
        </w:rPr>
        <w:t xml:space="preserve">La place du Québec et le partage des compétences dans le système fédéral canadien et quelques constats portant sur la gestion des ressources au </w:t>
      </w:r>
      <w:proofErr w:type="spellStart"/>
      <w:r w:rsidRPr="00D91731">
        <w:rPr>
          <w:rFonts w:asciiTheme="majorHAnsi" w:hAnsiTheme="majorHAnsi"/>
          <w:b/>
          <w:smallCaps/>
          <w:sz w:val="20"/>
          <w:szCs w:val="20"/>
          <w:lang w:val="fr-CH"/>
        </w:rPr>
        <w:t>Nunavik</w:t>
      </w:r>
      <w:proofErr w:type="spellEnd"/>
      <w:r w:rsidRPr="00D91731">
        <w:rPr>
          <w:rFonts w:asciiTheme="majorHAnsi" w:hAnsiTheme="majorHAnsi"/>
          <w:b/>
          <w:smallCaps/>
          <w:sz w:val="20"/>
          <w:szCs w:val="20"/>
          <w:lang w:val="fr-CH"/>
        </w:rPr>
        <w:t xml:space="preserve"> et au Nunavut pour une comparaison avec l’Initiative marocaine </w:t>
      </w:r>
      <w:r w:rsidR="00F9768F" w:rsidRPr="003061F8">
        <w:rPr>
          <w:rFonts w:asciiTheme="majorHAnsi" w:hAnsiTheme="majorHAnsi"/>
          <w:b/>
          <w:smallCaps/>
          <w:sz w:val="20"/>
          <w:szCs w:val="20"/>
          <w:lang w:val="fr-CH"/>
        </w:rPr>
        <w:t>s</w:t>
      </w:r>
      <w:r w:rsidRPr="00D91731">
        <w:rPr>
          <w:rFonts w:asciiTheme="majorHAnsi" w:hAnsiTheme="majorHAnsi"/>
          <w:b/>
          <w:smallCaps/>
          <w:sz w:val="20"/>
          <w:szCs w:val="20"/>
          <w:lang w:val="fr-CH"/>
        </w:rPr>
        <w:t>ur l’autonomie de la Région du Sahara</w:t>
      </w:r>
      <w:r w:rsidR="00F9768F" w:rsidRPr="003061F8">
        <w:rPr>
          <w:rStyle w:val="FootnoteReference"/>
          <w:rFonts w:asciiTheme="majorHAnsi" w:hAnsiTheme="majorHAnsi"/>
          <w:b/>
          <w:smallCaps/>
          <w:sz w:val="20"/>
          <w:szCs w:val="20"/>
          <w:lang w:val="fr-CH"/>
        </w:rPr>
        <w:footnoteReference w:id="1"/>
      </w:r>
    </w:p>
    <w:p w:rsidR="001828DE" w:rsidRDefault="001828DE">
      <w:pPr>
        <w:spacing w:line="360" w:lineRule="auto"/>
        <w:jc w:val="center"/>
        <w:rPr>
          <w:rFonts w:asciiTheme="majorHAnsi" w:hAnsiTheme="majorHAnsi"/>
          <w:b/>
          <w:sz w:val="20"/>
          <w:szCs w:val="20"/>
          <w:lang w:val="fr-CH"/>
        </w:rPr>
      </w:pPr>
    </w:p>
    <w:p w:rsidR="001828DE" w:rsidRDefault="001828DE">
      <w:pPr>
        <w:spacing w:line="360" w:lineRule="auto"/>
        <w:jc w:val="center"/>
        <w:rPr>
          <w:rFonts w:asciiTheme="majorHAnsi" w:hAnsiTheme="majorHAnsi"/>
          <w:sz w:val="20"/>
          <w:szCs w:val="20"/>
          <w:lang w:val="fr-CH"/>
        </w:rPr>
      </w:pPr>
    </w:p>
    <w:p w:rsidR="001828DE" w:rsidRDefault="00D91731">
      <w:pPr>
        <w:spacing w:line="360" w:lineRule="auto"/>
        <w:jc w:val="center"/>
        <w:rPr>
          <w:rFonts w:asciiTheme="majorHAnsi" w:hAnsiTheme="majorHAnsi"/>
          <w:sz w:val="20"/>
          <w:szCs w:val="20"/>
          <w:lang w:val="fr-CH"/>
        </w:rPr>
      </w:pPr>
      <w:r w:rsidRPr="00D91731">
        <w:rPr>
          <w:rFonts w:asciiTheme="majorHAnsi" w:hAnsiTheme="majorHAnsi"/>
          <w:sz w:val="20"/>
          <w:szCs w:val="20"/>
          <w:lang w:val="fr-CH"/>
        </w:rPr>
        <w:t>Alain-G. Gagnon</w:t>
      </w:r>
      <w:r w:rsidR="00F9768F" w:rsidRPr="003061F8">
        <w:rPr>
          <w:rStyle w:val="FootnoteReference"/>
          <w:rFonts w:asciiTheme="majorHAnsi" w:hAnsiTheme="majorHAnsi"/>
          <w:sz w:val="20"/>
          <w:szCs w:val="20"/>
          <w:lang w:val="fr-CH"/>
        </w:rPr>
        <w:footnoteReference w:id="2"/>
      </w:r>
    </w:p>
    <w:p w:rsidR="00321B41" w:rsidRDefault="00321B41">
      <w:pPr>
        <w:spacing w:line="360" w:lineRule="auto"/>
        <w:jc w:val="both"/>
        <w:rPr>
          <w:rFonts w:asciiTheme="majorHAnsi" w:hAnsiTheme="majorHAnsi"/>
          <w:b/>
          <w:sz w:val="20"/>
          <w:szCs w:val="20"/>
          <w:lang w:val="fr-CH"/>
        </w:rPr>
      </w:pPr>
    </w:p>
    <w:p w:rsidR="001828DE" w:rsidRDefault="00D91731">
      <w:pPr>
        <w:spacing w:line="360" w:lineRule="auto"/>
        <w:jc w:val="both"/>
        <w:rPr>
          <w:rFonts w:asciiTheme="majorHAnsi" w:hAnsiTheme="majorHAnsi"/>
          <w:b/>
          <w:sz w:val="20"/>
          <w:szCs w:val="20"/>
          <w:lang w:val="fr-CH"/>
        </w:rPr>
      </w:pPr>
      <w:r w:rsidRPr="00D91731">
        <w:rPr>
          <w:rFonts w:asciiTheme="majorHAnsi" w:hAnsiTheme="majorHAnsi"/>
          <w:b/>
          <w:sz w:val="20"/>
          <w:szCs w:val="20"/>
          <w:lang w:val="fr-CH"/>
        </w:rPr>
        <w:t>Une mise en contexte</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La fédération canadienne est composée de dix provinces et de trois territoires (Yukon, Territoires du Nord-Ouest, Nunavut)</w:t>
      </w:r>
      <w:r w:rsidR="00F9768F" w:rsidRPr="003061F8">
        <w:rPr>
          <w:rFonts w:asciiTheme="majorHAnsi" w:hAnsiTheme="majorHAnsi"/>
          <w:sz w:val="20"/>
          <w:szCs w:val="20"/>
          <w:lang w:val="fr-CH"/>
        </w:rPr>
        <w:t>,</w:t>
      </w:r>
      <w:r w:rsidRPr="00D91731">
        <w:rPr>
          <w:rFonts w:asciiTheme="majorHAnsi" w:hAnsiTheme="majorHAnsi"/>
          <w:sz w:val="20"/>
          <w:szCs w:val="20"/>
          <w:lang w:val="fr-CH"/>
        </w:rPr>
        <w:t xml:space="preserve"> chacun ayant son propre </w:t>
      </w:r>
      <w:r w:rsidR="00F9768F" w:rsidRPr="003061F8">
        <w:rPr>
          <w:rFonts w:asciiTheme="majorHAnsi" w:hAnsiTheme="majorHAnsi"/>
          <w:sz w:val="20"/>
          <w:szCs w:val="20"/>
          <w:lang w:val="fr-CH"/>
        </w:rPr>
        <w:t>P</w:t>
      </w:r>
      <w:r w:rsidRPr="00D91731">
        <w:rPr>
          <w:rFonts w:asciiTheme="majorHAnsi" w:hAnsiTheme="majorHAnsi"/>
          <w:sz w:val="20"/>
          <w:szCs w:val="20"/>
          <w:lang w:val="fr-CH"/>
        </w:rPr>
        <w:t xml:space="preserve">remier ministre et sa propre assemblée législative. Le Québec est l’une des quatre provinces à l’origine du </w:t>
      </w:r>
      <w:r w:rsidR="00F9768F" w:rsidRPr="003061F8">
        <w:rPr>
          <w:rFonts w:asciiTheme="majorHAnsi" w:hAnsiTheme="majorHAnsi"/>
          <w:sz w:val="20"/>
          <w:szCs w:val="20"/>
          <w:lang w:val="fr-CH"/>
        </w:rPr>
        <w:t>P</w:t>
      </w:r>
      <w:r w:rsidRPr="00D91731">
        <w:rPr>
          <w:rFonts w:asciiTheme="majorHAnsi" w:hAnsiTheme="majorHAnsi"/>
          <w:sz w:val="20"/>
          <w:szCs w:val="20"/>
          <w:lang w:val="fr-CH"/>
        </w:rPr>
        <w:t>acte fédéral de 1867. Le gouvernement du Québec exerce de façon relativement autonome d’importantes responsabilités, entre autres dans les champs de la santé, de l’éducation, des transports, de l’immigration, de l’économie et de la culture. Ces pouvoirs sont parfois limités par le pouvoir de dépenser du gouvernement central qui s’est arrogé à travers le temps cette capacité non</w:t>
      </w:r>
      <w:r w:rsidR="00F9768F" w:rsidRPr="003061F8">
        <w:rPr>
          <w:rFonts w:asciiTheme="majorHAnsi" w:hAnsiTheme="majorHAnsi"/>
          <w:sz w:val="20"/>
          <w:szCs w:val="20"/>
          <w:lang w:val="fr-CH"/>
        </w:rPr>
        <w:t xml:space="preserve"> </w:t>
      </w:r>
      <w:r w:rsidRPr="00D91731">
        <w:rPr>
          <w:rFonts w:asciiTheme="majorHAnsi" w:hAnsiTheme="majorHAnsi"/>
          <w:sz w:val="20"/>
          <w:szCs w:val="20"/>
          <w:lang w:val="fr-CH"/>
        </w:rPr>
        <w:t xml:space="preserve">constitutionnelle en affirmant agir ainsi au nom de </w:t>
      </w:r>
      <w:r w:rsidRPr="00D91731">
        <w:rPr>
          <w:rFonts w:asciiTheme="majorHAnsi" w:hAnsiTheme="majorHAnsi"/>
          <w:i/>
          <w:sz w:val="20"/>
          <w:szCs w:val="20"/>
          <w:lang w:val="fr-CH"/>
        </w:rPr>
        <w:t>l’intérêt national</w:t>
      </w:r>
      <w:r w:rsidRPr="00D91731">
        <w:rPr>
          <w:rStyle w:val="FootnoteReference"/>
          <w:rFonts w:asciiTheme="majorHAnsi" w:hAnsiTheme="majorHAnsi"/>
          <w:i/>
          <w:sz w:val="20"/>
          <w:szCs w:val="20"/>
        </w:rPr>
        <w:footnoteReference w:id="3"/>
      </w:r>
      <w:r w:rsidRPr="00D91731">
        <w:rPr>
          <w:rFonts w:asciiTheme="majorHAnsi" w:hAnsiTheme="majorHAnsi"/>
          <w:sz w:val="20"/>
          <w:szCs w:val="20"/>
          <w:lang w:val="fr-CH"/>
        </w:rPr>
        <w:t>.</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Sur le plan sociologique, le Canada forme une fédération multinationale où cohabitent plusieurs nations : la nation canadienne-anglaise, la nation québécoise, la nation acadienne et les nations autochtones. Cette réalité sociologique a été souvent passée sous silence par les acteurs politiques à Ottawa et dans les diverses capitales provinciales, mais elle revient à l’avant-scène aux moments de grandes tensions politiques (Gagnon, 2010). Cela f</w:t>
      </w:r>
      <w:r w:rsidR="00F9768F" w:rsidRPr="003061F8">
        <w:rPr>
          <w:rFonts w:asciiTheme="majorHAnsi" w:hAnsiTheme="majorHAnsi"/>
          <w:sz w:val="20"/>
          <w:szCs w:val="20"/>
          <w:lang w:val="fr-CH"/>
        </w:rPr>
        <w:t>u</w:t>
      </w:r>
      <w:r w:rsidRPr="00D91731">
        <w:rPr>
          <w:rFonts w:asciiTheme="majorHAnsi" w:hAnsiTheme="majorHAnsi"/>
          <w:sz w:val="20"/>
          <w:szCs w:val="20"/>
          <w:lang w:val="fr-CH"/>
        </w:rPr>
        <w:t xml:space="preserve">t le cas au début des années 1960 au moment de la création de la Commission </w:t>
      </w:r>
      <w:proofErr w:type="spellStart"/>
      <w:r w:rsidRPr="00D91731">
        <w:rPr>
          <w:rFonts w:asciiTheme="majorHAnsi" w:hAnsiTheme="majorHAnsi"/>
          <w:sz w:val="20"/>
          <w:szCs w:val="20"/>
          <w:lang w:val="fr-CH"/>
        </w:rPr>
        <w:t>Laurendeau</w:t>
      </w:r>
      <w:proofErr w:type="spellEnd"/>
      <w:r w:rsidRPr="00D91731">
        <w:rPr>
          <w:rFonts w:asciiTheme="majorHAnsi" w:hAnsiTheme="majorHAnsi"/>
          <w:sz w:val="20"/>
          <w:szCs w:val="20"/>
          <w:lang w:val="fr-CH"/>
        </w:rPr>
        <w:t>-</w:t>
      </w:r>
      <w:proofErr w:type="spellStart"/>
      <w:r w:rsidRPr="00D91731">
        <w:rPr>
          <w:rFonts w:asciiTheme="majorHAnsi" w:hAnsiTheme="majorHAnsi"/>
          <w:sz w:val="20"/>
          <w:szCs w:val="20"/>
          <w:lang w:val="fr-CH"/>
        </w:rPr>
        <w:t>Dunton</w:t>
      </w:r>
      <w:proofErr w:type="spellEnd"/>
      <w:r w:rsidRPr="00D91731">
        <w:rPr>
          <w:rFonts w:asciiTheme="majorHAnsi" w:hAnsiTheme="majorHAnsi"/>
          <w:sz w:val="20"/>
          <w:szCs w:val="20"/>
          <w:lang w:val="fr-CH"/>
        </w:rPr>
        <w:t xml:space="preserve"> sur le bilinguisme et le biculturalisme mettant en présence les deux principales communautés linguistiques au Canada. Ce f</w:t>
      </w:r>
      <w:r w:rsidR="00F9768F" w:rsidRPr="003061F8">
        <w:rPr>
          <w:rFonts w:asciiTheme="majorHAnsi" w:hAnsiTheme="majorHAnsi"/>
          <w:sz w:val="20"/>
          <w:szCs w:val="20"/>
          <w:lang w:val="fr-CH"/>
        </w:rPr>
        <w:t>u</w:t>
      </w:r>
      <w:r w:rsidRPr="00D91731">
        <w:rPr>
          <w:rFonts w:asciiTheme="majorHAnsi" w:hAnsiTheme="majorHAnsi"/>
          <w:sz w:val="20"/>
          <w:szCs w:val="20"/>
          <w:lang w:val="fr-CH"/>
        </w:rPr>
        <w:t>t aussi le cas en 1991 lors de l’établissement de la Commission Erasmus-Dussault sur les Peuples autochtones</w:t>
      </w:r>
      <w:r w:rsidR="00F9768F" w:rsidRPr="003061F8">
        <w:rPr>
          <w:rFonts w:asciiTheme="majorHAnsi" w:hAnsiTheme="majorHAnsi"/>
          <w:sz w:val="20"/>
          <w:szCs w:val="20"/>
          <w:lang w:val="fr-CH"/>
        </w:rPr>
        <w:t>,</w:t>
      </w:r>
      <w:r w:rsidRPr="00D91731">
        <w:rPr>
          <w:rFonts w:asciiTheme="majorHAnsi" w:hAnsiTheme="majorHAnsi"/>
          <w:sz w:val="20"/>
          <w:szCs w:val="20"/>
          <w:lang w:val="fr-CH"/>
        </w:rPr>
        <w:t xml:space="preserve"> alors que les nations autochtones se faisaient de plus en plus insistantes quant au respect de leurs droits historiques inhérents qui furent tardivement reconnus, puis enchâssés, dans l’</w:t>
      </w:r>
      <w:r w:rsidRPr="00D91731">
        <w:rPr>
          <w:rFonts w:asciiTheme="majorHAnsi" w:hAnsiTheme="majorHAnsi"/>
          <w:i/>
          <w:sz w:val="20"/>
          <w:szCs w:val="20"/>
          <w:lang w:val="fr-CH"/>
        </w:rPr>
        <w:t>Acte constitutionnel de 1982</w:t>
      </w:r>
      <w:r w:rsidRPr="00D91731">
        <w:rPr>
          <w:rFonts w:asciiTheme="majorHAnsi" w:hAnsiTheme="majorHAnsi"/>
          <w:sz w:val="20"/>
          <w:szCs w:val="20"/>
          <w:lang w:val="fr-CH"/>
        </w:rPr>
        <w:t xml:space="preserve">. La tenue de la première commission a fait ressortir l’existence d’un dualisme culturel et identitaire au Canada. Quant à la Commission Erasmus-Dussault, elle a contribué à mettre en évidence d’une part d’importantes tensions entre les premiers occupants du territoire canadien (les nations autochtones) et les </w:t>
      </w:r>
      <w:r w:rsidRPr="00D91731">
        <w:rPr>
          <w:rFonts w:asciiTheme="majorHAnsi" w:hAnsiTheme="majorHAnsi"/>
          <w:sz w:val="20"/>
          <w:szCs w:val="20"/>
          <w:lang w:val="fr-CH"/>
        </w:rPr>
        <w:lastRenderedPageBreak/>
        <w:t>colonisateurs (les Français, les Anglais) et d’autre part une situation de grandes iniquités prévalant entre la qualité de vie des Premières nations et de la population canadienne en général.</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Parmi les principaux enjeux dont les Canadiens doivent débattre aujourd’hui, il y a bien sûr la question de la reconnaissance des Premières nations au sein des institutions politiques relevant du gouvernement central et des gouvernements provinciaux. Il y a aussi la question de l’habilitation des Premières nations qui ont été spoliées de leurs ressources et campées sur des réserves lors des diverses vagues colonisatrices. De même, il y a la question des tensions existant entre le gouvernement du Québec qui n’a toujours pas apposé sa signature au bas de la nouvelle entente constitutionnelle de 1982 qui a pris</w:t>
      </w:r>
      <w:r w:rsidR="00F9768F" w:rsidRPr="003061F8">
        <w:rPr>
          <w:rFonts w:asciiTheme="majorHAnsi" w:hAnsiTheme="majorHAnsi"/>
          <w:sz w:val="20"/>
          <w:szCs w:val="20"/>
          <w:lang w:val="fr-CH"/>
        </w:rPr>
        <w:t xml:space="preserve"> </w:t>
      </w:r>
      <w:r w:rsidRPr="00D91731">
        <w:rPr>
          <w:rFonts w:asciiTheme="majorHAnsi" w:hAnsiTheme="majorHAnsi"/>
          <w:sz w:val="20"/>
          <w:szCs w:val="20"/>
          <w:lang w:val="fr-CH"/>
        </w:rPr>
        <w:t>le relais de l’Acte constitutionnel de 1867.</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L’existence d’un système fédéral au Canada a contribué à rendre la vie plus difficile, sinon plus complexe, aux autochtones qui ont souvent été pris dans les conflits de compétence dont ils étaient souvent exclus. Par ailleurs, ce même système fédéral, à travers les batailles politiques que se sont entre autres livrées le gouvernement du Québec et le gouvernement central, a pu fournir des occasions permettant de faire avancer les revendications autochtones comme ce fut le cas lors des négociations entourant la signature de l’entente entre le gouvernement du Québec et la nation crie</w:t>
      </w:r>
      <w:r w:rsidR="0026326E" w:rsidRPr="003061F8">
        <w:rPr>
          <w:rStyle w:val="FootnoteReference"/>
          <w:rFonts w:asciiTheme="majorHAnsi" w:hAnsiTheme="majorHAnsi"/>
          <w:sz w:val="20"/>
          <w:szCs w:val="20"/>
          <w:lang w:val="fr-CH"/>
        </w:rPr>
        <w:footnoteReference w:id="4"/>
      </w:r>
      <w:r w:rsidRPr="00D91731">
        <w:rPr>
          <w:rFonts w:asciiTheme="majorHAnsi" w:hAnsiTheme="majorHAnsi"/>
          <w:sz w:val="20"/>
          <w:szCs w:val="20"/>
          <w:lang w:val="fr-CH"/>
        </w:rPr>
        <w:t xml:space="preserve"> au moment de la signature de la Paix des Braves en 2002 et, subséquemment, de l’établissement par étapes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en tant que territoire autonome autochtone dans la région la plus septentrionale du Québec.</w:t>
      </w:r>
    </w:p>
    <w:p w:rsidR="001828DE" w:rsidRDefault="001828DE">
      <w:pPr>
        <w:spacing w:line="360" w:lineRule="auto"/>
        <w:jc w:val="both"/>
        <w:rPr>
          <w:rFonts w:asciiTheme="majorHAnsi" w:hAnsiTheme="majorHAnsi"/>
          <w:sz w:val="20"/>
          <w:szCs w:val="20"/>
          <w:lang w:val="fr-CH"/>
        </w:rPr>
      </w:pPr>
    </w:p>
    <w:p w:rsidR="001828DE" w:rsidRPr="001A156F" w:rsidRDefault="001A156F" w:rsidP="001A156F">
      <w:pPr>
        <w:spacing w:line="360" w:lineRule="auto"/>
        <w:jc w:val="both"/>
        <w:rPr>
          <w:rFonts w:asciiTheme="majorHAnsi" w:hAnsiTheme="majorHAnsi"/>
          <w:strike/>
          <w:color w:val="FF0000"/>
          <w:sz w:val="20"/>
          <w:szCs w:val="20"/>
          <w:vertAlign w:val="subscript"/>
          <w:lang w:val="fr-CH"/>
        </w:rPr>
      </w:pPr>
      <w:r>
        <w:rPr>
          <w:rFonts w:asciiTheme="majorHAnsi" w:hAnsiTheme="majorHAnsi"/>
          <w:color w:val="FF0000"/>
          <w:sz w:val="20"/>
          <w:szCs w:val="20"/>
          <w:lang w:val="fr-CH"/>
        </w:rPr>
        <w:t>Dans le contexte du Royaume du Maroc</w:t>
      </w:r>
      <w:r w:rsidR="0026326E" w:rsidRPr="009D5457">
        <w:rPr>
          <w:rFonts w:asciiTheme="majorHAnsi" w:hAnsiTheme="majorHAnsi"/>
          <w:color w:val="FF0000"/>
          <w:sz w:val="20"/>
          <w:szCs w:val="20"/>
          <w:lang w:val="fr-CH"/>
        </w:rPr>
        <w:t>, l’Initiative marocaine pour l’autonomie de la région du Sahara</w:t>
      </w:r>
      <w:r w:rsidR="00BA595A" w:rsidRPr="009D5457">
        <w:rPr>
          <w:rStyle w:val="FootnoteReference"/>
          <w:rFonts w:asciiTheme="majorHAnsi" w:hAnsiTheme="majorHAnsi"/>
          <w:color w:val="FF0000"/>
          <w:sz w:val="20"/>
          <w:szCs w:val="20"/>
          <w:lang w:val="fr-CH"/>
        </w:rPr>
        <w:footnoteReference w:id="5"/>
      </w:r>
      <w:r w:rsidR="0026326E" w:rsidRPr="009D5457">
        <w:rPr>
          <w:rFonts w:asciiTheme="majorHAnsi" w:hAnsiTheme="majorHAnsi"/>
          <w:color w:val="FF0000"/>
          <w:sz w:val="20"/>
          <w:szCs w:val="20"/>
          <w:lang w:val="fr-CH"/>
        </w:rPr>
        <w:t xml:space="preserve"> s’inscrit non dans un système fédéral mais dans un Etat unitaire</w:t>
      </w:r>
      <w:r>
        <w:rPr>
          <w:rFonts w:asciiTheme="majorHAnsi" w:hAnsiTheme="majorHAnsi"/>
          <w:color w:val="FF0000"/>
          <w:sz w:val="20"/>
          <w:szCs w:val="20"/>
          <w:lang w:val="fr-CH"/>
        </w:rPr>
        <w:t xml:space="preserve">. Le Maroc a été parmi les rares pays en développement qui </w:t>
      </w:r>
      <w:r w:rsidR="009D06F2">
        <w:rPr>
          <w:rFonts w:asciiTheme="majorHAnsi" w:hAnsiTheme="majorHAnsi"/>
          <w:color w:val="FF0000"/>
          <w:sz w:val="20"/>
          <w:szCs w:val="20"/>
          <w:lang w:val="fr-CH"/>
        </w:rPr>
        <w:t>ont</w:t>
      </w:r>
      <w:r>
        <w:rPr>
          <w:rFonts w:asciiTheme="majorHAnsi" w:hAnsiTheme="majorHAnsi"/>
          <w:color w:val="FF0000"/>
          <w:sz w:val="20"/>
          <w:szCs w:val="20"/>
          <w:lang w:val="fr-CH"/>
        </w:rPr>
        <w:t xml:space="preserve"> opté, dès les premières années de son indépendance en 1956, pour un système de décentralisation et de régionalisation moderne, conforme à la structure segmentaire de la société plurielle du pays.</w:t>
      </w:r>
      <w:r w:rsidR="0026326E" w:rsidRPr="009D5457">
        <w:rPr>
          <w:rFonts w:asciiTheme="majorHAnsi" w:hAnsiTheme="majorHAnsi"/>
          <w:color w:val="FF0000"/>
          <w:sz w:val="20"/>
          <w:szCs w:val="20"/>
          <w:lang w:val="fr-CH"/>
        </w:rPr>
        <w:t xml:space="preserve"> </w:t>
      </w:r>
      <w:proofErr w:type="gramStart"/>
      <w:r w:rsidR="00F9767F" w:rsidRPr="00F9767F">
        <w:rPr>
          <w:rFonts w:asciiTheme="majorHAnsi" w:hAnsiTheme="majorHAnsi"/>
          <w:strike/>
          <w:color w:val="FF0000"/>
          <w:sz w:val="20"/>
          <w:szCs w:val="20"/>
          <w:lang w:val="fr-CH"/>
        </w:rPr>
        <w:t>et</w:t>
      </w:r>
      <w:proofErr w:type="gramEnd"/>
      <w:r w:rsidR="00F9767F" w:rsidRPr="00F9767F">
        <w:rPr>
          <w:rFonts w:asciiTheme="majorHAnsi" w:hAnsiTheme="majorHAnsi"/>
          <w:strike/>
          <w:color w:val="FF0000"/>
          <w:sz w:val="20"/>
          <w:szCs w:val="20"/>
          <w:lang w:val="fr-CH"/>
        </w:rPr>
        <w:t xml:space="preserve"> dans un processus de régionalisation visant à accorder une certaine autonomie aux populations locales.</w:t>
      </w:r>
      <w:r w:rsidR="0026326E" w:rsidRPr="009D5457">
        <w:rPr>
          <w:rFonts w:asciiTheme="majorHAnsi" w:hAnsiTheme="majorHAnsi"/>
          <w:color w:val="FF0000"/>
          <w:sz w:val="20"/>
          <w:szCs w:val="20"/>
          <w:lang w:val="fr-CH"/>
        </w:rPr>
        <w:t xml:space="preserve"> </w:t>
      </w:r>
      <w:r>
        <w:rPr>
          <w:rFonts w:asciiTheme="majorHAnsi" w:hAnsiTheme="majorHAnsi"/>
          <w:color w:val="FF0000"/>
          <w:sz w:val="20"/>
          <w:szCs w:val="20"/>
          <w:lang w:val="fr-CH"/>
        </w:rPr>
        <w:t xml:space="preserve">L’Initiative marocaine d’autonomie pour la Région du Sahara est une autonomie politique et non simplement administrative. Elle prévoit une Région avec un Gouvernement, un Parlement et un pouvoir judiciaire, qui permettront aux populations locales de gérer leurs propres affaires, dans le cadre de l’unité et la souveraineté du Royaume. Le Maroc a présenté cette Initiative aux Nations </w:t>
      </w:r>
      <w:r w:rsidR="009D06F2">
        <w:rPr>
          <w:rFonts w:asciiTheme="majorHAnsi" w:hAnsiTheme="majorHAnsi"/>
          <w:color w:val="FF0000"/>
          <w:sz w:val="20"/>
          <w:szCs w:val="20"/>
          <w:lang w:val="fr-CH"/>
        </w:rPr>
        <w:t>u</w:t>
      </w:r>
      <w:r>
        <w:rPr>
          <w:rFonts w:asciiTheme="majorHAnsi" w:hAnsiTheme="majorHAnsi"/>
          <w:color w:val="FF0000"/>
          <w:sz w:val="20"/>
          <w:szCs w:val="20"/>
          <w:lang w:val="fr-CH"/>
        </w:rPr>
        <w:t xml:space="preserve">nies, le 11 avril 2011, afin de contribuer, de manière constructive, aux efforts visant à trouver une solution politique définitive et mutuellement acceptable au différend régional sur le Sahara. Cette Initiative a été qualifiée par le Conseil de sécurité de </w:t>
      </w:r>
      <w:r w:rsidR="009D06F2">
        <w:rPr>
          <w:rFonts w:asciiTheme="majorHAnsi" w:hAnsiTheme="majorHAnsi"/>
          <w:color w:val="FF0000"/>
          <w:sz w:val="20"/>
          <w:szCs w:val="20"/>
          <w:lang w:val="fr-CH"/>
        </w:rPr>
        <w:t>« </w:t>
      </w:r>
      <w:r>
        <w:rPr>
          <w:rFonts w:asciiTheme="majorHAnsi" w:hAnsiTheme="majorHAnsi"/>
          <w:color w:val="FF0000"/>
          <w:sz w:val="20"/>
          <w:szCs w:val="20"/>
          <w:lang w:val="fr-CH"/>
        </w:rPr>
        <w:t>sérieuse et crédible</w:t>
      </w:r>
      <w:r w:rsidR="009D06F2">
        <w:rPr>
          <w:rFonts w:asciiTheme="majorHAnsi" w:hAnsiTheme="majorHAnsi"/>
          <w:color w:val="FF0000"/>
          <w:sz w:val="20"/>
          <w:szCs w:val="20"/>
          <w:lang w:val="fr-CH"/>
        </w:rPr>
        <w:t> »</w:t>
      </w:r>
      <w:r>
        <w:rPr>
          <w:rFonts w:asciiTheme="majorHAnsi" w:hAnsiTheme="majorHAnsi"/>
          <w:color w:val="FF0000"/>
          <w:sz w:val="20"/>
          <w:szCs w:val="20"/>
          <w:lang w:val="fr-CH"/>
        </w:rPr>
        <w:t xml:space="preserve"> et ce, dans toutes ses résolutions depuis 2007. Il s’agit d’une Initiative de compromis, visant à régler définitivement ce problème, dans le cadre de l’ONU, </w:t>
      </w:r>
      <w:r w:rsidR="009D06F2">
        <w:rPr>
          <w:rFonts w:asciiTheme="majorHAnsi" w:hAnsiTheme="majorHAnsi"/>
          <w:color w:val="FF0000"/>
          <w:sz w:val="20"/>
          <w:szCs w:val="20"/>
          <w:lang w:val="fr-CH"/>
        </w:rPr>
        <w:t xml:space="preserve">et à </w:t>
      </w:r>
      <w:r>
        <w:rPr>
          <w:rFonts w:asciiTheme="majorHAnsi" w:hAnsiTheme="majorHAnsi"/>
          <w:color w:val="FF0000"/>
          <w:sz w:val="20"/>
          <w:szCs w:val="20"/>
          <w:lang w:val="fr-CH"/>
        </w:rPr>
        <w:t xml:space="preserve">favoriser la réconciliation, la paix et la stabilité durables dans la région. </w:t>
      </w:r>
      <w:r w:rsidR="0026326E" w:rsidRPr="009D5457">
        <w:rPr>
          <w:rFonts w:asciiTheme="majorHAnsi" w:hAnsiTheme="majorHAnsi"/>
          <w:color w:val="FF0000"/>
          <w:sz w:val="20"/>
          <w:szCs w:val="20"/>
          <w:lang w:val="fr-CH"/>
        </w:rPr>
        <w:t>L</w:t>
      </w:r>
      <w:r>
        <w:rPr>
          <w:rFonts w:asciiTheme="majorHAnsi" w:hAnsiTheme="majorHAnsi"/>
          <w:color w:val="FF0000"/>
          <w:sz w:val="20"/>
          <w:szCs w:val="20"/>
          <w:lang w:val="fr-CH"/>
        </w:rPr>
        <w:t>’</w:t>
      </w:r>
      <w:r w:rsidR="009D06F2">
        <w:rPr>
          <w:rFonts w:asciiTheme="majorHAnsi" w:hAnsiTheme="majorHAnsi"/>
          <w:color w:val="FF0000"/>
          <w:sz w:val="20"/>
          <w:szCs w:val="20"/>
          <w:lang w:val="fr-CH"/>
        </w:rPr>
        <w:t>I</w:t>
      </w:r>
      <w:r>
        <w:rPr>
          <w:rFonts w:asciiTheme="majorHAnsi" w:hAnsiTheme="majorHAnsi"/>
          <w:color w:val="FF0000"/>
          <w:sz w:val="20"/>
          <w:szCs w:val="20"/>
          <w:lang w:val="fr-CH"/>
        </w:rPr>
        <w:t xml:space="preserve">nitiative marocaine n’est pas un texte figé ou unilatéral. Elle est ouverte à la négociation des autres parties, afin de détailler ses dispositions et préciser ses contours et l’étendue des </w:t>
      </w:r>
      <w:r>
        <w:rPr>
          <w:rFonts w:asciiTheme="majorHAnsi" w:hAnsiTheme="majorHAnsi"/>
          <w:color w:val="FF0000"/>
          <w:sz w:val="20"/>
          <w:szCs w:val="20"/>
          <w:lang w:val="fr-CH"/>
        </w:rPr>
        <w:lastRenderedPageBreak/>
        <w:t xml:space="preserve">compétences dévolues à la région du Sahara. </w:t>
      </w:r>
      <w:proofErr w:type="gramStart"/>
      <w:r w:rsidR="00F9767F" w:rsidRPr="00F9767F">
        <w:rPr>
          <w:rFonts w:asciiTheme="majorHAnsi" w:hAnsiTheme="majorHAnsi"/>
          <w:strike/>
          <w:color w:val="FF0000"/>
          <w:sz w:val="20"/>
          <w:szCs w:val="20"/>
          <w:lang w:val="fr-CH"/>
        </w:rPr>
        <w:t>es</w:t>
      </w:r>
      <w:proofErr w:type="gramEnd"/>
      <w:r w:rsidR="00F9767F" w:rsidRPr="00F9767F">
        <w:rPr>
          <w:rFonts w:asciiTheme="majorHAnsi" w:hAnsiTheme="majorHAnsi"/>
          <w:strike/>
          <w:color w:val="FF0000"/>
          <w:sz w:val="20"/>
          <w:szCs w:val="20"/>
          <w:lang w:val="fr-CH"/>
        </w:rPr>
        <w:t xml:space="preserve"> compétences reconnues à la population de la Région du Sahara sont est définies de manière générale dans le texte de l’Initiative présentée au Secrétaire général des Nations unies en 2007, mais, dans les détails et la mise en application, elle reste à négocier entre les parties.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b/>
          <w:sz w:val="20"/>
          <w:szCs w:val="20"/>
          <w:lang w:val="fr-CH"/>
        </w:rPr>
      </w:pPr>
      <w:r w:rsidRPr="00D91731">
        <w:rPr>
          <w:rFonts w:asciiTheme="majorHAnsi" w:hAnsiTheme="majorHAnsi"/>
          <w:b/>
          <w:sz w:val="20"/>
          <w:szCs w:val="20"/>
          <w:lang w:val="fr-CH"/>
        </w:rPr>
        <w:t xml:space="preserve">Le partage de compétences entre le gouvernement central et le gouvernement du Québec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Pour l’essentiel, le partage des pouvoirs entre le gouvernement central (Ottawa) et</w:t>
      </w:r>
      <w:r w:rsidR="0026326E" w:rsidRPr="003061F8">
        <w:rPr>
          <w:rFonts w:asciiTheme="majorHAnsi" w:hAnsiTheme="majorHAnsi"/>
          <w:sz w:val="20"/>
          <w:szCs w:val="20"/>
          <w:lang w:val="fr-CH"/>
        </w:rPr>
        <w:t xml:space="preserve"> </w:t>
      </w:r>
      <w:r w:rsidRPr="00D91731">
        <w:rPr>
          <w:rFonts w:asciiTheme="majorHAnsi" w:hAnsiTheme="majorHAnsi"/>
          <w:sz w:val="20"/>
          <w:szCs w:val="20"/>
          <w:lang w:val="fr-CH"/>
        </w:rPr>
        <w:t xml:space="preserve">le gouvernement du Québec (et les autres gouvernements provinciaux) est inscrit dans la </w:t>
      </w:r>
      <w:r w:rsidRPr="00D91731">
        <w:rPr>
          <w:rFonts w:asciiTheme="majorHAnsi" w:hAnsiTheme="majorHAnsi"/>
          <w:i/>
          <w:sz w:val="20"/>
          <w:szCs w:val="20"/>
          <w:lang w:val="fr-CH"/>
        </w:rPr>
        <w:t>Loi constitutionnelle de 1867</w:t>
      </w:r>
      <w:r w:rsidRPr="00D91731">
        <w:rPr>
          <w:rFonts w:asciiTheme="majorHAnsi" w:hAnsiTheme="majorHAnsi"/>
          <w:sz w:val="20"/>
          <w:szCs w:val="20"/>
          <w:lang w:val="fr-CH"/>
        </w:rPr>
        <w:t>. Le gouvernement central contrôle exclusivement des domaines aussi vastes que</w:t>
      </w:r>
      <w:r w:rsidR="009205E5" w:rsidRPr="003061F8">
        <w:rPr>
          <w:rFonts w:asciiTheme="majorHAnsi" w:hAnsiTheme="majorHAnsi"/>
          <w:sz w:val="20"/>
          <w:szCs w:val="20"/>
          <w:lang w:val="fr-CH"/>
        </w:rPr>
        <w:t xml:space="preserve"> </w:t>
      </w:r>
      <w:r w:rsidRPr="00D91731">
        <w:rPr>
          <w:rFonts w:asciiTheme="majorHAnsi" w:hAnsiTheme="majorHAnsi"/>
          <w:sz w:val="20"/>
          <w:szCs w:val="20"/>
          <w:lang w:val="fr-CH"/>
        </w:rPr>
        <w:t xml:space="preserve">ceux de la réglementation des échanges et du commerce entre les provinces et au niveau international, de la banque centrale, de la politique monétaire, de la défense, du divorce, des faillites, etc. Les gouvernements provinciaux ont, selon le partage des pouvoirs </w:t>
      </w:r>
      <w:r w:rsidRPr="00D91731">
        <w:rPr>
          <w:rFonts w:asciiTheme="majorHAnsi" w:hAnsiTheme="majorHAnsi"/>
          <w:i/>
          <w:sz w:val="20"/>
          <w:szCs w:val="20"/>
          <w:lang w:val="fr-CH"/>
        </w:rPr>
        <w:t>de jure</w:t>
      </w:r>
      <w:r w:rsidRPr="00D91731">
        <w:rPr>
          <w:rFonts w:asciiTheme="majorHAnsi" w:hAnsiTheme="majorHAnsi"/>
          <w:sz w:val="20"/>
          <w:szCs w:val="20"/>
          <w:lang w:val="fr-CH"/>
        </w:rPr>
        <w:t xml:space="preserve"> convenus à l’origine du pacte fédéral, des compétences exclusives dans les domaines de la santé et des services sociaux, de l’éducation, du droit à la propriété et des droits civils, des infrastructures et des routes provinciales, de l’administration de la justice, etc. </w:t>
      </w:r>
      <w:r w:rsidRPr="009D5457">
        <w:rPr>
          <w:rFonts w:asciiTheme="majorHAnsi" w:hAnsiTheme="majorHAnsi"/>
          <w:sz w:val="20"/>
          <w:szCs w:val="20"/>
          <w:lang w:val="fr-CH"/>
        </w:rPr>
        <w:t xml:space="preserve">(voir Tableau 1). </w:t>
      </w:r>
      <w:r w:rsidRPr="00D91731">
        <w:rPr>
          <w:rFonts w:asciiTheme="majorHAnsi" w:hAnsiTheme="majorHAnsi"/>
          <w:sz w:val="20"/>
          <w:szCs w:val="20"/>
          <w:lang w:val="fr-CH"/>
        </w:rPr>
        <w:t>Il existe des compétences dites partagées, mentionnons l’agriculture et l’immigration. Puis, il y a des domaines où on a pu constater dans la pratique (</w:t>
      </w:r>
      <w:r w:rsidRPr="00D91731">
        <w:rPr>
          <w:rFonts w:asciiTheme="majorHAnsi" w:hAnsiTheme="majorHAnsi"/>
          <w:i/>
          <w:sz w:val="20"/>
          <w:szCs w:val="20"/>
          <w:lang w:val="fr-CH"/>
        </w:rPr>
        <w:t>de facto</w:t>
      </w:r>
      <w:r w:rsidRPr="00D91731">
        <w:rPr>
          <w:rFonts w:asciiTheme="majorHAnsi" w:hAnsiTheme="majorHAnsi"/>
          <w:sz w:val="20"/>
          <w:szCs w:val="20"/>
          <w:lang w:val="fr-CH"/>
        </w:rPr>
        <w:t xml:space="preserve">) l’existence d’une responsabilité partagée. Les domaines des pensions, de la gestion des ressources naturelles, de l’environnement et de l’éducation universitaire en sont des exemples. En d’autres </w:t>
      </w:r>
      <w:r w:rsidR="009205E5" w:rsidRPr="003061F8">
        <w:rPr>
          <w:rFonts w:asciiTheme="majorHAnsi" w:hAnsiTheme="majorHAnsi"/>
          <w:sz w:val="20"/>
          <w:szCs w:val="20"/>
          <w:lang w:val="fr-CH"/>
        </w:rPr>
        <w:t>termes</w:t>
      </w:r>
      <w:r w:rsidRPr="00D91731">
        <w:rPr>
          <w:rFonts w:asciiTheme="majorHAnsi" w:hAnsiTheme="majorHAnsi"/>
          <w:sz w:val="20"/>
          <w:szCs w:val="20"/>
          <w:lang w:val="fr-CH"/>
        </w:rPr>
        <w:t xml:space="preserve">, les deux ordres de gouvernement se disputent ces champs de responsabilité.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b/>
          <w:sz w:val="20"/>
          <w:szCs w:val="20"/>
          <w:lang w:val="fr-CH"/>
        </w:rPr>
      </w:pPr>
      <w:r w:rsidRPr="00D91731">
        <w:rPr>
          <w:rFonts w:asciiTheme="majorHAnsi" w:hAnsiTheme="majorHAnsi"/>
          <w:b/>
          <w:sz w:val="20"/>
          <w:szCs w:val="20"/>
          <w:lang w:val="fr-CH"/>
        </w:rPr>
        <w:t>Tableau 1 : Les champs de compétences provinciales et fédérales</w:t>
      </w:r>
    </w:p>
    <w:p w:rsidR="001828DE" w:rsidRDefault="001828DE">
      <w:pPr>
        <w:spacing w:line="360" w:lineRule="auto"/>
        <w:rPr>
          <w:rFonts w:asciiTheme="majorHAnsi" w:hAnsiTheme="majorHAnsi"/>
          <w:sz w:val="20"/>
          <w:szCs w:val="20"/>
          <w:lang w:val="fr-CH"/>
        </w:rPr>
      </w:pPr>
    </w:p>
    <w:tbl>
      <w:tblPr>
        <w:tblW w:w="4462" w:type="pct"/>
        <w:jc w:val="center"/>
        <w:tblCellSpacing w:w="10" w:type="dxa"/>
        <w:tblCellMar>
          <w:top w:w="80" w:type="dxa"/>
          <w:left w:w="80" w:type="dxa"/>
          <w:bottom w:w="80" w:type="dxa"/>
          <w:right w:w="80" w:type="dxa"/>
        </w:tblCellMar>
        <w:tblLook w:val="0000"/>
      </w:tblPr>
      <w:tblGrid>
        <w:gridCol w:w="2758"/>
        <w:gridCol w:w="2750"/>
        <w:gridCol w:w="2760"/>
      </w:tblGrid>
      <w:tr w:rsidR="00161D01" w:rsidRPr="003061F8">
        <w:trPr>
          <w:trHeight w:val="272"/>
          <w:tblCellSpacing w:w="10" w:type="dxa"/>
          <w:jc w:val="center"/>
        </w:trPr>
        <w:tc>
          <w:tcPr>
            <w:tcW w:w="1650" w:type="pct"/>
            <w:shd w:val="clear" w:color="auto" w:fill="BBCCDD"/>
          </w:tcPr>
          <w:p w:rsidR="001828DE" w:rsidRDefault="00D91731">
            <w:pPr>
              <w:spacing w:line="360" w:lineRule="auto"/>
              <w:jc w:val="center"/>
              <w:rPr>
                <w:rFonts w:asciiTheme="majorHAnsi" w:hAnsiTheme="majorHAnsi"/>
                <w:sz w:val="20"/>
                <w:szCs w:val="20"/>
                <w:lang w:eastAsia="fr-FR"/>
              </w:rPr>
            </w:pPr>
            <w:proofErr w:type="spellStart"/>
            <w:r w:rsidRPr="00D91731">
              <w:rPr>
                <w:rFonts w:asciiTheme="majorHAnsi" w:hAnsiTheme="majorHAnsi"/>
                <w:b/>
                <w:sz w:val="20"/>
                <w:szCs w:val="20"/>
                <w:lang w:eastAsia="fr-FR"/>
              </w:rPr>
              <w:t>Compétences</w:t>
            </w:r>
            <w:proofErr w:type="spellEnd"/>
            <w:r w:rsidRPr="00D91731">
              <w:rPr>
                <w:rFonts w:asciiTheme="majorHAnsi" w:hAnsiTheme="majorHAnsi"/>
                <w:b/>
                <w:sz w:val="20"/>
                <w:szCs w:val="20"/>
                <w:lang w:eastAsia="fr-FR"/>
              </w:rPr>
              <w:t xml:space="preserve"> </w:t>
            </w:r>
            <w:proofErr w:type="spellStart"/>
            <w:r w:rsidRPr="00D91731">
              <w:rPr>
                <w:rFonts w:asciiTheme="majorHAnsi" w:hAnsiTheme="majorHAnsi"/>
                <w:b/>
                <w:sz w:val="20"/>
                <w:szCs w:val="20"/>
                <w:lang w:eastAsia="fr-FR"/>
              </w:rPr>
              <w:t>fédérales</w:t>
            </w:r>
            <w:proofErr w:type="spellEnd"/>
          </w:p>
        </w:tc>
        <w:tc>
          <w:tcPr>
            <w:tcW w:w="1651" w:type="pct"/>
            <w:shd w:val="clear" w:color="auto" w:fill="BBCCDD"/>
          </w:tcPr>
          <w:p w:rsidR="001828DE" w:rsidRDefault="00D91731">
            <w:pPr>
              <w:spacing w:line="360" w:lineRule="auto"/>
              <w:jc w:val="center"/>
              <w:rPr>
                <w:rFonts w:asciiTheme="majorHAnsi" w:hAnsiTheme="majorHAnsi"/>
                <w:sz w:val="20"/>
                <w:szCs w:val="20"/>
                <w:lang w:eastAsia="fr-FR"/>
              </w:rPr>
            </w:pPr>
            <w:proofErr w:type="spellStart"/>
            <w:r w:rsidRPr="00D91731">
              <w:rPr>
                <w:rFonts w:asciiTheme="majorHAnsi" w:hAnsiTheme="majorHAnsi"/>
                <w:b/>
                <w:sz w:val="20"/>
                <w:szCs w:val="20"/>
                <w:lang w:eastAsia="fr-FR"/>
              </w:rPr>
              <w:t>Compétences</w:t>
            </w:r>
            <w:proofErr w:type="spellEnd"/>
            <w:r w:rsidRPr="00D91731">
              <w:rPr>
                <w:rFonts w:asciiTheme="majorHAnsi" w:hAnsiTheme="majorHAnsi"/>
                <w:b/>
                <w:sz w:val="20"/>
                <w:szCs w:val="20"/>
                <w:lang w:eastAsia="fr-FR"/>
              </w:rPr>
              <w:t xml:space="preserve"> </w:t>
            </w:r>
            <w:proofErr w:type="spellStart"/>
            <w:r w:rsidRPr="00D91731">
              <w:rPr>
                <w:rFonts w:asciiTheme="majorHAnsi" w:hAnsiTheme="majorHAnsi"/>
                <w:b/>
                <w:sz w:val="20"/>
                <w:szCs w:val="20"/>
                <w:lang w:eastAsia="fr-FR"/>
              </w:rPr>
              <w:t>provinciales</w:t>
            </w:r>
            <w:proofErr w:type="spellEnd"/>
          </w:p>
        </w:tc>
        <w:tc>
          <w:tcPr>
            <w:tcW w:w="1651" w:type="pct"/>
            <w:shd w:val="clear" w:color="auto" w:fill="BBCCDD"/>
          </w:tcPr>
          <w:p w:rsidR="001828DE" w:rsidRDefault="00D91731">
            <w:pPr>
              <w:spacing w:line="360" w:lineRule="auto"/>
              <w:jc w:val="center"/>
              <w:rPr>
                <w:rFonts w:asciiTheme="majorHAnsi" w:hAnsiTheme="majorHAnsi"/>
                <w:sz w:val="20"/>
                <w:szCs w:val="20"/>
                <w:lang w:eastAsia="fr-FR"/>
              </w:rPr>
            </w:pPr>
            <w:proofErr w:type="spellStart"/>
            <w:r w:rsidRPr="00D91731">
              <w:rPr>
                <w:rFonts w:asciiTheme="majorHAnsi" w:hAnsiTheme="majorHAnsi"/>
                <w:b/>
                <w:sz w:val="20"/>
                <w:szCs w:val="20"/>
                <w:lang w:eastAsia="fr-FR"/>
              </w:rPr>
              <w:t>Compétences</w:t>
            </w:r>
            <w:proofErr w:type="spellEnd"/>
            <w:r w:rsidRPr="00D91731">
              <w:rPr>
                <w:rFonts w:asciiTheme="majorHAnsi" w:hAnsiTheme="majorHAnsi"/>
                <w:b/>
                <w:sz w:val="20"/>
                <w:szCs w:val="20"/>
                <w:lang w:eastAsia="fr-FR"/>
              </w:rPr>
              <w:t xml:space="preserve"> </w:t>
            </w:r>
            <w:proofErr w:type="spellStart"/>
            <w:r w:rsidRPr="00D91731">
              <w:rPr>
                <w:rFonts w:asciiTheme="majorHAnsi" w:hAnsiTheme="majorHAnsi"/>
                <w:b/>
                <w:sz w:val="20"/>
                <w:szCs w:val="20"/>
                <w:lang w:eastAsia="fr-FR"/>
              </w:rPr>
              <w:t>partagées</w:t>
            </w:r>
            <w:proofErr w:type="spellEnd"/>
          </w:p>
        </w:tc>
      </w:tr>
      <w:tr w:rsidR="00161D01" w:rsidRPr="003061F8">
        <w:trPr>
          <w:trHeight w:val="4029"/>
          <w:tblCellSpacing w:w="10" w:type="dxa"/>
          <w:jc w:val="center"/>
        </w:trPr>
        <w:tc>
          <w:tcPr>
            <w:tcW w:w="1650" w:type="pct"/>
            <w:shd w:val="clear" w:color="auto" w:fill="E6ECF0"/>
          </w:tcPr>
          <w:p w:rsidR="00000000" w:rsidRDefault="00D91731" w:rsidP="00DA5C56">
            <w:pPr>
              <w:numPr>
                <w:ilvl w:val="0"/>
                <w:numId w:val="1"/>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Taxes</w:t>
            </w:r>
          </w:p>
          <w:p w:rsidR="00000000" w:rsidRDefault="00D91731" w:rsidP="00DA5C56">
            <w:pPr>
              <w:numPr>
                <w:ilvl w:val="0"/>
                <w:numId w:val="1"/>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Postes</w:t>
            </w:r>
            <w:proofErr w:type="spellEnd"/>
          </w:p>
          <w:p w:rsidR="00000000" w:rsidRDefault="00D91731" w:rsidP="00DA5C56">
            <w:pPr>
              <w:numPr>
                <w:ilvl w:val="0"/>
                <w:numId w:val="1"/>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Milice</w:t>
            </w:r>
            <w:proofErr w:type="spellEnd"/>
            <w:r w:rsidRPr="00D91731">
              <w:rPr>
                <w:rFonts w:asciiTheme="majorHAnsi" w:hAnsiTheme="majorHAnsi"/>
                <w:sz w:val="20"/>
                <w:szCs w:val="20"/>
                <w:lang w:eastAsia="fr-FR"/>
              </w:rPr>
              <w:t xml:space="preserve"> et </w:t>
            </w:r>
            <w:proofErr w:type="spellStart"/>
            <w:r w:rsidRPr="00D91731">
              <w:rPr>
                <w:rFonts w:asciiTheme="majorHAnsi" w:hAnsiTheme="majorHAnsi"/>
                <w:sz w:val="20"/>
                <w:szCs w:val="20"/>
                <w:lang w:eastAsia="fr-FR"/>
              </w:rPr>
              <w:t>défense</w:t>
            </w:r>
            <w:proofErr w:type="spellEnd"/>
          </w:p>
          <w:p w:rsidR="00000000" w:rsidRDefault="00D91731" w:rsidP="00DA5C56">
            <w:pPr>
              <w:numPr>
                <w:ilvl w:val="0"/>
                <w:numId w:val="1"/>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Monnaie</w:t>
            </w:r>
            <w:proofErr w:type="spellEnd"/>
            <w:r w:rsidRPr="00D91731">
              <w:rPr>
                <w:rFonts w:asciiTheme="majorHAnsi" w:hAnsiTheme="majorHAnsi"/>
                <w:sz w:val="20"/>
                <w:szCs w:val="20"/>
                <w:lang w:eastAsia="fr-FR"/>
              </w:rPr>
              <w:t xml:space="preserve"> et </w:t>
            </w:r>
            <w:proofErr w:type="spellStart"/>
            <w:r w:rsidRPr="00D91731">
              <w:rPr>
                <w:rFonts w:asciiTheme="majorHAnsi" w:hAnsiTheme="majorHAnsi"/>
                <w:sz w:val="20"/>
                <w:szCs w:val="20"/>
                <w:lang w:eastAsia="fr-FR"/>
              </w:rPr>
              <w:t>banques</w:t>
            </w:r>
            <w:proofErr w:type="spellEnd"/>
          </w:p>
          <w:p w:rsidR="00000000" w:rsidRDefault="00D91731" w:rsidP="00DA5C56">
            <w:pPr>
              <w:numPr>
                <w:ilvl w:val="0"/>
                <w:numId w:val="1"/>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Politique</w:t>
            </w:r>
            <w:proofErr w:type="spellEnd"/>
            <w:r w:rsidRPr="00D91731">
              <w:rPr>
                <w:rFonts w:asciiTheme="majorHAnsi" w:hAnsiTheme="majorHAnsi"/>
                <w:sz w:val="20"/>
                <w:szCs w:val="20"/>
                <w:lang w:eastAsia="fr-FR"/>
              </w:rPr>
              <w:t xml:space="preserve"> </w:t>
            </w:r>
            <w:proofErr w:type="spellStart"/>
            <w:r w:rsidRPr="00D91731">
              <w:rPr>
                <w:rFonts w:asciiTheme="majorHAnsi" w:hAnsiTheme="majorHAnsi"/>
                <w:sz w:val="20"/>
                <w:szCs w:val="20"/>
                <w:lang w:eastAsia="fr-FR"/>
              </w:rPr>
              <w:t>indienne</w:t>
            </w:r>
            <w:proofErr w:type="spellEnd"/>
          </w:p>
          <w:p w:rsidR="00000000" w:rsidRDefault="00D91731" w:rsidP="00DA5C56">
            <w:pPr>
              <w:numPr>
                <w:ilvl w:val="0"/>
                <w:numId w:val="1"/>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Droit</w:t>
            </w:r>
            <w:proofErr w:type="spellEnd"/>
            <w:r w:rsidRPr="00D91731">
              <w:rPr>
                <w:rFonts w:asciiTheme="majorHAnsi" w:hAnsiTheme="majorHAnsi"/>
                <w:sz w:val="20"/>
                <w:szCs w:val="20"/>
                <w:lang w:eastAsia="fr-FR"/>
              </w:rPr>
              <w:t xml:space="preserve"> </w:t>
            </w:r>
            <w:proofErr w:type="spellStart"/>
            <w:r w:rsidRPr="00D91731">
              <w:rPr>
                <w:rFonts w:asciiTheme="majorHAnsi" w:hAnsiTheme="majorHAnsi"/>
                <w:sz w:val="20"/>
                <w:szCs w:val="20"/>
                <w:lang w:eastAsia="fr-FR"/>
              </w:rPr>
              <w:t>criminel</w:t>
            </w:r>
            <w:proofErr w:type="spellEnd"/>
          </w:p>
          <w:p w:rsidR="00000000" w:rsidRDefault="00D91731" w:rsidP="00DA5C56">
            <w:pPr>
              <w:numPr>
                <w:ilvl w:val="0"/>
                <w:numId w:val="1"/>
              </w:numPr>
              <w:spacing w:beforeLines="1" w:afterLines="1" w:line="360" w:lineRule="auto"/>
              <w:rPr>
                <w:rFonts w:asciiTheme="majorHAnsi" w:hAnsiTheme="majorHAnsi"/>
                <w:sz w:val="20"/>
                <w:szCs w:val="20"/>
                <w:lang w:val="fr-CA" w:eastAsia="fr-FR"/>
              </w:rPr>
            </w:pPr>
            <w:r w:rsidRPr="00D91731">
              <w:rPr>
                <w:rFonts w:asciiTheme="majorHAnsi" w:hAnsiTheme="majorHAnsi"/>
                <w:sz w:val="20"/>
                <w:szCs w:val="20"/>
                <w:lang w:val="fr-CA" w:eastAsia="fr-FR"/>
              </w:rPr>
              <w:t>Pouvoirs résiduaires (champs non définis dans la Loi constitutionnelle de 1867)</w:t>
            </w:r>
          </w:p>
          <w:p w:rsidR="00000000" w:rsidRDefault="00D91731" w:rsidP="00DA5C56">
            <w:pPr>
              <w:numPr>
                <w:ilvl w:val="0"/>
                <w:numId w:val="1"/>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Mariage</w:t>
            </w:r>
            <w:proofErr w:type="spellEnd"/>
            <w:r w:rsidRPr="00D91731">
              <w:rPr>
                <w:rFonts w:asciiTheme="majorHAnsi" w:hAnsiTheme="majorHAnsi"/>
                <w:sz w:val="20"/>
                <w:szCs w:val="20"/>
                <w:lang w:eastAsia="fr-FR"/>
              </w:rPr>
              <w:t xml:space="preserve"> et divorce</w:t>
            </w:r>
          </w:p>
        </w:tc>
        <w:tc>
          <w:tcPr>
            <w:tcW w:w="1651" w:type="pct"/>
            <w:shd w:val="clear" w:color="auto" w:fill="E6ECF0"/>
          </w:tcPr>
          <w:p w:rsidR="00000000" w:rsidRDefault="00D91731" w:rsidP="00DA5C56">
            <w:pPr>
              <w:numPr>
                <w:ilvl w:val="0"/>
                <w:numId w:val="2"/>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 xml:space="preserve">Commerce </w:t>
            </w:r>
            <w:proofErr w:type="spellStart"/>
            <w:r w:rsidRPr="00D91731">
              <w:rPr>
                <w:rFonts w:asciiTheme="majorHAnsi" w:hAnsiTheme="majorHAnsi"/>
                <w:sz w:val="20"/>
                <w:szCs w:val="20"/>
                <w:lang w:eastAsia="fr-FR"/>
              </w:rPr>
              <w:t>intraprovincial</w:t>
            </w:r>
            <w:proofErr w:type="spellEnd"/>
          </w:p>
          <w:p w:rsidR="00000000" w:rsidRDefault="00D91731" w:rsidP="00DA5C56">
            <w:pPr>
              <w:numPr>
                <w:ilvl w:val="0"/>
                <w:numId w:val="2"/>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Terres</w:t>
            </w:r>
            <w:proofErr w:type="spellEnd"/>
            <w:r w:rsidRPr="00D91731">
              <w:rPr>
                <w:rFonts w:asciiTheme="majorHAnsi" w:hAnsiTheme="majorHAnsi"/>
                <w:sz w:val="20"/>
                <w:szCs w:val="20"/>
                <w:lang w:eastAsia="fr-FR"/>
              </w:rPr>
              <w:t xml:space="preserve"> </w:t>
            </w:r>
            <w:proofErr w:type="spellStart"/>
            <w:r w:rsidRPr="00D91731">
              <w:rPr>
                <w:rFonts w:asciiTheme="majorHAnsi" w:hAnsiTheme="majorHAnsi"/>
                <w:sz w:val="20"/>
                <w:szCs w:val="20"/>
                <w:lang w:eastAsia="fr-FR"/>
              </w:rPr>
              <w:t>publiques</w:t>
            </w:r>
            <w:proofErr w:type="spellEnd"/>
            <w:r w:rsidRPr="00D91731">
              <w:rPr>
                <w:rFonts w:asciiTheme="majorHAnsi" w:hAnsiTheme="majorHAnsi"/>
                <w:sz w:val="20"/>
                <w:szCs w:val="20"/>
                <w:lang w:eastAsia="fr-FR"/>
              </w:rPr>
              <w:t xml:space="preserve"> et </w:t>
            </w:r>
            <w:proofErr w:type="spellStart"/>
            <w:r w:rsidRPr="00D91731">
              <w:rPr>
                <w:rFonts w:asciiTheme="majorHAnsi" w:hAnsiTheme="majorHAnsi"/>
                <w:sz w:val="20"/>
                <w:szCs w:val="20"/>
                <w:lang w:eastAsia="fr-FR"/>
              </w:rPr>
              <w:t>forêts</w:t>
            </w:r>
            <w:proofErr w:type="spellEnd"/>
          </w:p>
          <w:p w:rsidR="00000000" w:rsidRDefault="00D91731" w:rsidP="00DA5C56">
            <w:pPr>
              <w:numPr>
                <w:ilvl w:val="0"/>
                <w:numId w:val="2"/>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Système</w:t>
            </w:r>
            <w:proofErr w:type="spellEnd"/>
            <w:r w:rsidRPr="00D91731">
              <w:rPr>
                <w:rFonts w:asciiTheme="majorHAnsi" w:hAnsiTheme="majorHAnsi"/>
                <w:sz w:val="20"/>
                <w:szCs w:val="20"/>
                <w:lang w:eastAsia="fr-FR"/>
              </w:rPr>
              <w:t xml:space="preserve"> de santé</w:t>
            </w:r>
          </w:p>
          <w:p w:rsidR="00000000" w:rsidRDefault="00D91731" w:rsidP="00DA5C56">
            <w:pPr>
              <w:numPr>
                <w:ilvl w:val="0"/>
                <w:numId w:val="2"/>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 xml:space="preserve">Institutions </w:t>
            </w:r>
            <w:proofErr w:type="spellStart"/>
            <w:r w:rsidRPr="00D91731">
              <w:rPr>
                <w:rFonts w:asciiTheme="majorHAnsi" w:hAnsiTheme="majorHAnsi"/>
                <w:sz w:val="20"/>
                <w:szCs w:val="20"/>
                <w:lang w:eastAsia="fr-FR"/>
              </w:rPr>
              <w:t>municipales</w:t>
            </w:r>
            <w:proofErr w:type="spellEnd"/>
          </w:p>
          <w:p w:rsidR="00000000" w:rsidRDefault="00D91731" w:rsidP="00DA5C56">
            <w:pPr>
              <w:numPr>
                <w:ilvl w:val="0"/>
                <w:numId w:val="2"/>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Célébration</w:t>
            </w:r>
            <w:proofErr w:type="spellEnd"/>
            <w:r w:rsidRPr="00D91731">
              <w:rPr>
                <w:rFonts w:asciiTheme="majorHAnsi" w:hAnsiTheme="majorHAnsi"/>
                <w:sz w:val="20"/>
                <w:szCs w:val="20"/>
                <w:lang w:eastAsia="fr-FR"/>
              </w:rPr>
              <w:t xml:space="preserve"> </w:t>
            </w:r>
            <w:proofErr w:type="spellStart"/>
            <w:r w:rsidRPr="00D91731">
              <w:rPr>
                <w:rFonts w:asciiTheme="majorHAnsi" w:hAnsiTheme="majorHAnsi"/>
                <w:sz w:val="20"/>
                <w:szCs w:val="20"/>
                <w:lang w:eastAsia="fr-FR"/>
              </w:rPr>
              <w:t>du</w:t>
            </w:r>
            <w:proofErr w:type="spellEnd"/>
            <w:r w:rsidRPr="00D91731">
              <w:rPr>
                <w:rFonts w:asciiTheme="majorHAnsi" w:hAnsiTheme="majorHAnsi"/>
                <w:sz w:val="20"/>
                <w:szCs w:val="20"/>
                <w:lang w:eastAsia="fr-FR"/>
              </w:rPr>
              <w:t xml:space="preserve"> </w:t>
            </w:r>
            <w:proofErr w:type="spellStart"/>
            <w:r w:rsidRPr="00D91731">
              <w:rPr>
                <w:rFonts w:asciiTheme="majorHAnsi" w:hAnsiTheme="majorHAnsi"/>
                <w:sz w:val="20"/>
                <w:szCs w:val="20"/>
                <w:lang w:eastAsia="fr-FR"/>
              </w:rPr>
              <w:t>mariage</w:t>
            </w:r>
            <w:proofErr w:type="spellEnd"/>
          </w:p>
          <w:p w:rsidR="00000000" w:rsidRDefault="00D91731" w:rsidP="00DA5C56">
            <w:pPr>
              <w:numPr>
                <w:ilvl w:val="0"/>
                <w:numId w:val="2"/>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Propriété</w:t>
            </w:r>
            <w:proofErr w:type="spellEnd"/>
            <w:r w:rsidRPr="00D91731">
              <w:rPr>
                <w:rFonts w:asciiTheme="majorHAnsi" w:hAnsiTheme="majorHAnsi"/>
                <w:sz w:val="20"/>
                <w:szCs w:val="20"/>
                <w:lang w:eastAsia="fr-FR"/>
              </w:rPr>
              <w:t xml:space="preserve"> et </w:t>
            </w:r>
            <w:proofErr w:type="spellStart"/>
            <w:r w:rsidRPr="00D91731">
              <w:rPr>
                <w:rFonts w:asciiTheme="majorHAnsi" w:hAnsiTheme="majorHAnsi"/>
                <w:sz w:val="20"/>
                <w:szCs w:val="20"/>
                <w:lang w:eastAsia="fr-FR"/>
              </w:rPr>
              <w:t>droits</w:t>
            </w:r>
            <w:proofErr w:type="spellEnd"/>
            <w:r w:rsidRPr="00D91731">
              <w:rPr>
                <w:rFonts w:asciiTheme="majorHAnsi" w:hAnsiTheme="majorHAnsi"/>
                <w:sz w:val="20"/>
                <w:szCs w:val="20"/>
                <w:lang w:eastAsia="fr-FR"/>
              </w:rPr>
              <w:t xml:space="preserve"> </w:t>
            </w:r>
            <w:proofErr w:type="spellStart"/>
            <w:r w:rsidRPr="00D91731">
              <w:rPr>
                <w:rFonts w:asciiTheme="majorHAnsi" w:hAnsiTheme="majorHAnsi"/>
                <w:sz w:val="20"/>
                <w:szCs w:val="20"/>
                <w:lang w:eastAsia="fr-FR"/>
              </w:rPr>
              <w:t>civils</w:t>
            </w:r>
            <w:proofErr w:type="spellEnd"/>
          </w:p>
          <w:p w:rsidR="00000000" w:rsidRDefault="00D91731" w:rsidP="00DA5C56">
            <w:pPr>
              <w:numPr>
                <w:ilvl w:val="0"/>
                <w:numId w:val="2"/>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Éducation</w:t>
            </w:r>
            <w:proofErr w:type="spellEnd"/>
          </w:p>
          <w:p w:rsidR="00000000" w:rsidRDefault="00D91731" w:rsidP="00DA5C56">
            <w:pPr>
              <w:numPr>
                <w:ilvl w:val="0"/>
                <w:numId w:val="2"/>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 xml:space="preserve">Licences </w:t>
            </w:r>
            <w:proofErr w:type="spellStart"/>
            <w:r w:rsidRPr="00D91731">
              <w:rPr>
                <w:rFonts w:asciiTheme="majorHAnsi" w:hAnsiTheme="majorHAnsi"/>
                <w:sz w:val="20"/>
                <w:szCs w:val="20"/>
                <w:lang w:eastAsia="fr-FR"/>
              </w:rPr>
              <w:t>commerciales</w:t>
            </w:r>
            <w:proofErr w:type="spellEnd"/>
          </w:p>
          <w:p w:rsidR="00000000" w:rsidRDefault="00D91731" w:rsidP="00DA5C56">
            <w:pPr>
              <w:numPr>
                <w:ilvl w:val="0"/>
                <w:numId w:val="2"/>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 xml:space="preserve">Constitution </w:t>
            </w:r>
            <w:proofErr w:type="spellStart"/>
            <w:r w:rsidRPr="00D91731">
              <w:rPr>
                <w:rFonts w:asciiTheme="majorHAnsi" w:hAnsiTheme="majorHAnsi"/>
                <w:sz w:val="20"/>
                <w:szCs w:val="20"/>
                <w:lang w:eastAsia="fr-FR"/>
              </w:rPr>
              <w:t>provinciale</w:t>
            </w:r>
            <w:proofErr w:type="spellEnd"/>
          </w:p>
        </w:tc>
        <w:tc>
          <w:tcPr>
            <w:tcW w:w="1651" w:type="pct"/>
            <w:shd w:val="clear" w:color="auto" w:fill="E6ECF0"/>
          </w:tcPr>
          <w:p w:rsidR="00000000" w:rsidRDefault="00D91731" w:rsidP="00DA5C56">
            <w:pPr>
              <w:numPr>
                <w:ilvl w:val="0"/>
                <w:numId w:val="3"/>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Agriculture</w:t>
            </w:r>
          </w:p>
          <w:p w:rsidR="00000000" w:rsidRDefault="00D91731" w:rsidP="00DA5C56">
            <w:pPr>
              <w:numPr>
                <w:ilvl w:val="0"/>
                <w:numId w:val="3"/>
              </w:numPr>
              <w:spacing w:beforeLines="1" w:afterLines="1" w:line="360" w:lineRule="auto"/>
              <w:rPr>
                <w:rFonts w:asciiTheme="majorHAnsi" w:hAnsiTheme="majorHAnsi"/>
                <w:sz w:val="20"/>
                <w:szCs w:val="20"/>
                <w:lang w:val="fr-CA" w:eastAsia="fr-FR"/>
              </w:rPr>
            </w:pPr>
            <w:r w:rsidRPr="00D91731">
              <w:rPr>
                <w:rFonts w:asciiTheme="majorHAnsi" w:hAnsiTheme="majorHAnsi"/>
                <w:sz w:val="20"/>
                <w:szCs w:val="20"/>
                <w:lang w:val="fr-CA" w:eastAsia="fr-FR"/>
              </w:rPr>
              <w:t>Les compagnies et le développement économiques</w:t>
            </w:r>
          </w:p>
          <w:p w:rsidR="00000000" w:rsidRDefault="00D91731" w:rsidP="00DA5C56">
            <w:pPr>
              <w:numPr>
                <w:ilvl w:val="0"/>
                <w:numId w:val="3"/>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Les prisons et la justice</w:t>
            </w:r>
          </w:p>
          <w:p w:rsidR="00000000" w:rsidRDefault="00D91731" w:rsidP="00DA5C56">
            <w:pPr>
              <w:numPr>
                <w:ilvl w:val="0"/>
                <w:numId w:val="3"/>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 xml:space="preserve">La </w:t>
            </w:r>
            <w:proofErr w:type="spellStart"/>
            <w:r w:rsidRPr="00D91731">
              <w:rPr>
                <w:rFonts w:asciiTheme="majorHAnsi" w:hAnsiTheme="majorHAnsi"/>
                <w:sz w:val="20"/>
                <w:szCs w:val="20"/>
                <w:lang w:eastAsia="fr-FR"/>
              </w:rPr>
              <w:t>pêche</w:t>
            </w:r>
            <w:proofErr w:type="spellEnd"/>
          </w:p>
          <w:p w:rsidR="00000000" w:rsidRDefault="00D91731" w:rsidP="00DA5C56">
            <w:pPr>
              <w:numPr>
                <w:ilvl w:val="0"/>
                <w:numId w:val="3"/>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 xml:space="preserve">Les </w:t>
            </w:r>
            <w:proofErr w:type="spellStart"/>
            <w:r w:rsidRPr="00D91731">
              <w:rPr>
                <w:rFonts w:asciiTheme="majorHAnsi" w:hAnsiTheme="majorHAnsi"/>
                <w:sz w:val="20"/>
                <w:szCs w:val="20"/>
                <w:lang w:eastAsia="fr-FR"/>
              </w:rPr>
              <w:t>travaux</w:t>
            </w:r>
            <w:proofErr w:type="spellEnd"/>
            <w:r w:rsidRPr="00D91731">
              <w:rPr>
                <w:rFonts w:asciiTheme="majorHAnsi" w:hAnsiTheme="majorHAnsi"/>
                <w:sz w:val="20"/>
                <w:szCs w:val="20"/>
                <w:lang w:eastAsia="fr-FR"/>
              </w:rPr>
              <w:t xml:space="preserve"> publics</w:t>
            </w:r>
          </w:p>
          <w:p w:rsidR="00000000" w:rsidRDefault="00D91731" w:rsidP="00DA5C56">
            <w:pPr>
              <w:numPr>
                <w:ilvl w:val="0"/>
                <w:numId w:val="3"/>
              </w:numPr>
              <w:spacing w:beforeLines="1" w:afterLines="1" w:line="360" w:lineRule="auto"/>
              <w:rPr>
                <w:rFonts w:asciiTheme="majorHAnsi" w:hAnsiTheme="majorHAnsi"/>
                <w:sz w:val="20"/>
                <w:szCs w:val="20"/>
                <w:lang w:eastAsia="fr-FR"/>
              </w:rPr>
            </w:pPr>
            <w:r w:rsidRPr="00D91731">
              <w:rPr>
                <w:rFonts w:asciiTheme="majorHAnsi" w:hAnsiTheme="majorHAnsi"/>
                <w:sz w:val="20"/>
                <w:szCs w:val="20"/>
                <w:lang w:eastAsia="fr-FR"/>
              </w:rPr>
              <w:t>Les transports et communications</w:t>
            </w:r>
          </w:p>
          <w:p w:rsidR="00000000" w:rsidRDefault="00D91731" w:rsidP="00DA5C56">
            <w:pPr>
              <w:numPr>
                <w:ilvl w:val="0"/>
                <w:numId w:val="3"/>
              </w:numPr>
              <w:spacing w:beforeLines="1" w:afterLines="1" w:line="360" w:lineRule="auto"/>
              <w:rPr>
                <w:rFonts w:asciiTheme="majorHAnsi" w:hAnsiTheme="majorHAnsi"/>
                <w:sz w:val="20"/>
                <w:szCs w:val="20"/>
                <w:lang w:eastAsia="fr-FR"/>
              </w:rPr>
            </w:pPr>
            <w:proofErr w:type="spellStart"/>
            <w:r w:rsidRPr="00D91731">
              <w:rPr>
                <w:rFonts w:asciiTheme="majorHAnsi" w:hAnsiTheme="majorHAnsi"/>
                <w:sz w:val="20"/>
                <w:szCs w:val="20"/>
                <w:lang w:eastAsia="fr-FR"/>
              </w:rPr>
              <w:t>L'immigration</w:t>
            </w:r>
            <w:proofErr w:type="spellEnd"/>
          </w:p>
        </w:tc>
      </w:tr>
    </w:tbl>
    <w:p w:rsidR="001828DE" w:rsidRDefault="00D91731" w:rsidP="00DA5C56">
      <w:pPr>
        <w:shd w:val="clear" w:color="auto" w:fill="FFFFFF"/>
        <w:spacing w:beforeLines="1" w:afterLines="1" w:line="360" w:lineRule="auto"/>
        <w:rPr>
          <w:rFonts w:asciiTheme="majorHAnsi" w:hAnsiTheme="majorHAnsi" w:cs="Times New Roman"/>
          <w:color w:val="000000"/>
          <w:sz w:val="20"/>
          <w:szCs w:val="20"/>
          <w:lang w:val="fr-CA" w:eastAsia="fr-FR"/>
        </w:rPr>
      </w:pPr>
      <w:r w:rsidRPr="00D91731">
        <w:rPr>
          <w:rFonts w:asciiTheme="majorHAnsi" w:hAnsiTheme="majorHAnsi" w:cs="Times New Roman"/>
          <w:color w:val="000000"/>
          <w:sz w:val="20"/>
          <w:szCs w:val="20"/>
          <w:lang w:val="fr-CA" w:eastAsia="fr-FR"/>
        </w:rPr>
        <w:t xml:space="preserve">Source: «Acte de l'Amérique du Nord britannique», dans Gérald-A. Beaudoin, </w:t>
      </w:r>
      <w:r w:rsidRPr="00D91731">
        <w:rPr>
          <w:rFonts w:asciiTheme="majorHAnsi" w:hAnsiTheme="majorHAnsi" w:cs="Times New Roman"/>
          <w:i/>
          <w:color w:val="000000"/>
          <w:sz w:val="20"/>
          <w:szCs w:val="20"/>
          <w:lang w:val="fr-CA" w:eastAsia="fr-FR"/>
        </w:rPr>
        <w:t>La Constitution du Canada</w:t>
      </w:r>
      <w:r w:rsidRPr="00D91731">
        <w:rPr>
          <w:rFonts w:asciiTheme="majorHAnsi" w:hAnsiTheme="majorHAnsi" w:cs="Times New Roman"/>
          <w:color w:val="000000"/>
          <w:sz w:val="20"/>
          <w:szCs w:val="20"/>
          <w:lang w:val="fr-CA" w:eastAsia="fr-FR"/>
        </w:rPr>
        <w:t>, Montréal, Wilson et Lafleur, 1990, pp. 849-902.</w:t>
      </w:r>
    </w:p>
    <w:p w:rsidR="001828DE" w:rsidRDefault="001828DE">
      <w:pPr>
        <w:spacing w:line="360" w:lineRule="auto"/>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Il arrive occasionnellement que les tribunaux soient appelés à se prononcer sur la constitutionnalité des actions posées par l’un ou l’autre des deux ordres de gouvernement dans les domaines de compétence faisant l’objet de disputes. Or, dans les cas où il y a conflit entre une loi fédérale et une loi provinciale, c’est généralement la </w:t>
      </w:r>
      <w:r w:rsidRPr="00D91731">
        <w:rPr>
          <w:rFonts w:asciiTheme="majorHAnsi" w:hAnsiTheme="majorHAnsi"/>
          <w:i/>
          <w:sz w:val="20"/>
          <w:szCs w:val="20"/>
          <w:lang w:val="fr-CH"/>
        </w:rPr>
        <w:t>prépondérance fédérale</w:t>
      </w:r>
      <w:r w:rsidRPr="00D91731">
        <w:rPr>
          <w:rFonts w:asciiTheme="majorHAnsi" w:hAnsiTheme="majorHAnsi"/>
          <w:sz w:val="20"/>
          <w:szCs w:val="20"/>
          <w:lang w:val="fr-CH"/>
        </w:rPr>
        <w:t xml:space="preserve"> qui s’applique. Avec le temps, cette interprétation a évolué quelque peu et, de nos jours, les juges sont moins enclins à déclarer inopérante une loi provinciale qui, bien que chevauchant la compétence centrale, ne serait pas en conflit avec une loi fédérale.</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Les pouvoirs non attribués expressément aux gouvernements provinciaux par la Constitution relèvent du gouvernement central : il s’agit du </w:t>
      </w:r>
      <w:r w:rsidRPr="00D91731">
        <w:rPr>
          <w:rFonts w:asciiTheme="majorHAnsi" w:hAnsiTheme="majorHAnsi"/>
          <w:i/>
          <w:sz w:val="20"/>
          <w:szCs w:val="20"/>
          <w:lang w:val="fr-CH"/>
        </w:rPr>
        <w:t>pouvoir résiduel</w:t>
      </w:r>
      <w:r w:rsidRPr="00D91731">
        <w:rPr>
          <w:rFonts w:asciiTheme="majorHAnsi" w:hAnsiTheme="majorHAnsi"/>
          <w:sz w:val="20"/>
          <w:szCs w:val="20"/>
          <w:lang w:val="fr-CH"/>
        </w:rPr>
        <w:t xml:space="preserve">.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cs="Times New Roman"/>
          <w:color w:val="000048"/>
          <w:sz w:val="20"/>
          <w:szCs w:val="20"/>
          <w:lang w:val="fr-CH"/>
        </w:rPr>
      </w:pPr>
      <w:r w:rsidRPr="00D91731">
        <w:rPr>
          <w:rFonts w:asciiTheme="majorHAnsi" w:hAnsiTheme="majorHAnsi"/>
          <w:sz w:val="20"/>
          <w:szCs w:val="20"/>
          <w:lang w:val="fr-CH"/>
        </w:rPr>
        <w:t>Il importe de mentionner que le gouvernement central a depuis 1982 l’obligation constitutionnelle de fournir des revenus suffisants aux provinces pour leur permettre d’</w:t>
      </w:r>
      <w:r w:rsidRPr="00D91731">
        <w:rPr>
          <w:rFonts w:asciiTheme="majorHAnsi" w:hAnsiTheme="majorHAnsi" w:cs="Times New Roman"/>
          <w:color w:val="000048"/>
          <w:sz w:val="20"/>
          <w:szCs w:val="20"/>
          <w:lang w:val="fr-CH"/>
        </w:rPr>
        <w:t xml:space="preserve">«assurer des services publics à un niveau de qualité et de fiscalité sensiblement comparables» (cf. </w:t>
      </w:r>
      <w:r w:rsidRPr="00D91731">
        <w:rPr>
          <w:rFonts w:asciiTheme="majorHAnsi" w:hAnsiTheme="majorHAnsi" w:cs="Times New Roman"/>
          <w:i/>
          <w:iCs/>
          <w:color w:val="000048"/>
          <w:sz w:val="20"/>
          <w:szCs w:val="20"/>
          <w:lang w:val="fr-CH"/>
        </w:rPr>
        <w:t>Loi constitutionnelle de 1982</w:t>
      </w:r>
      <w:r w:rsidRPr="00D91731">
        <w:rPr>
          <w:rFonts w:asciiTheme="majorHAnsi" w:hAnsiTheme="majorHAnsi" w:cs="Times New Roman"/>
          <w:color w:val="000048"/>
          <w:sz w:val="20"/>
          <w:szCs w:val="20"/>
          <w:lang w:val="fr-CH"/>
        </w:rPr>
        <w:t xml:space="preserve">, paragraphe 36(2)). Ce programme dit de </w:t>
      </w:r>
      <w:r w:rsidRPr="00D91731">
        <w:rPr>
          <w:rFonts w:asciiTheme="majorHAnsi" w:hAnsiTheme="majorHAnsi" w:cs="Times New Roman"/>
          <w:i/>
          <w:color w:val="000048"/>
          <w:sz w:val="20"/>
          <w:szCs w:val="20"/>
          <w:lang w:val="fr-CH"/>
        </w:rPr>
        <w:t>péréquation</w:t>
      </w:r>
      <w:r w:rsidRPr="00D91731">
        <w:rPr>
          <w:rFonts w:asciiTheme="majorHAnsi" w:hAnsiTheme="majorHAnsi" w:cs="Times New Roman"/>
          <w:color w:val="000048"/>
          <w:sz w:val="20"/>
          <w:szCs w:val="20"/>
          <w:lang w:val="fr-CH"/>
        </w:rPr>
        <w:t xml:space="preserve"> du gouvernement central consiste à percevoir des revenus en provenance de l’ensemble des provinces en fonction de diverses sources de revenus et de redistribuer ces fonds en les faisant transiter des provinces riches vers les provinces moins bien nanties.  L’implantation de la première formule de péréquation remonte à 1957 et elle a été modifiée à plusieurs occasions, au gré surtout des réalignements des forces politiques à Ottawa, afin de tenir compte de la fluctuation des sources de revenus au niveau provincial. Les diverses révisions de la formule de péréquation ont donné lieu à d’importants bras de fer entre, d’une part, les États membres de la fédération canadienne entre eux et, d’autre part, entre les États membres et le gouvernement central.</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Précisons que le gouvernement central dispose de tous les modes de taxation et qu’il est libre de dépenser grâce au </w:t>
      </w:r>
      <w:r w:rsidRPr="00D91731">
        <w:rPr>
          <w:rFonts w:asciiTheme="majorHAnsi" w:hAnsiTheme="majorHAnsi"/>
          <w:i/>
          <w:sz w:val="20"/>
          <w:szCs w:val="20"/>
          <w:lang w:val="fr-CH"/>
        </w:rPr>
        <w:t>pouvoir de dépenser</w:t>
      </w:r>
      <w:r w:rsidRPr="00D91731">
        <w:rPr>
          <w:rFonts w:asciiTheme="majorHAnsi" w:hAnsiTheme="majorHAnsi"/>
          <w:sz w:val="20"/>
          <w:szCs w:val="20"/>
          <w:lang w:val="fr-CH"/>
        </w:rPr>
        <w:t xml:space="preserve"> l’argent ainsi recueilli comme bon lui semble dans tous les domaines. Il peut aussi emprunter ou prêter des fonds sur les marchés sans devoir rendre des comptes auprès des provinces ou des territoires.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Les ressources des provinces se limitent à l’impôt sur le revenu des particuliers et des sociétés, la taxe de vente et la tarification pour divers services. Comme il nous a été donné de le mentionner, les provinces par ailleurs ont accès exclusif aux recettes générées par l’exploitation des ressources naturelles. Cela fait en sorte que les revenus disponibles pour les provinces varient de façon importante d’une région à l’autre du pays selon les ressources naturelles dont elles sont dotées (voir Tableau 2).</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Les municipalités</w:t>
      </w:r>
      <w:r w:rsidR="009205E5" w:rsidRPr="003061F8">
        <w:rPr>
          <w:rFonts w:asciiTheme="majorHAnsi" w:hAnsiTheme="majorHAnsi"/>
          <w:sz w:val="20"/>
          <w:szCs w:val="20"/>
          <w:lang w:val="fr-CH"/>
        </w:rPr>
        <w:t>,</w:t>
      </w:r>
      <w:r w:rsidRPr="00D91731">
        <w:rPr>
          <w:rFonts w:asciiTheme="majorHAnsi" w:hAnsiTheme="majorHAnsi"/>
          <w:sz w:val="20"/>
          <w:szCs w:val="20"/>
          <w:lang w:val="fr-CH"/>
        </w:rPr>
        <w:t xml:space="preserve"> quant à elles</w:t>
      </w:r>
      <w:r w:rsidR="009205E5" w:rsidRPr="003061F8">
        <w:rPr>
          <w:rFonts w:asciiTheme="majorHAnsi" w:hAnsiTheme="majorHAnsi"/>
          <w:sz w:val="20"/>
          <w:szCs w:val="20"/>
          <w:lang w:val="fr-CH"/>
        </w:rPr>
        <w:t>,</w:t>
      </w:r>
      <w:r w:rsidRPr="00D91731">
        <w:rPr>
          <w:rFonts w:asciiTheme="majorHAnsi" w:hAnsiTheme="majorHAnsi"/>
          <w:sz w:val="20"/>
          <w:szCs w:val="20"/>
          <w:lang w:val="fr-CH"/>
        </w:rPr>
        <w:t xml:space="preserve"> relèvent des provinces. Elles sont vues comme étant la </w:t>
      </w:r>
      <w:r w:rsidRPr="00D91731">
        <w:rPr>
          <w:rFonts w:asciiTheme="majorHAnsi" w:hAnsiTheme="majorHAnsi"/>
          <w:i/>
          <w:sz w:val="20"/>
          <w:szCs w:val="20"/>
          <w:lang w:val="fr-CH"/>
        </w:rPr>
        <w:t xml:space="preserve">création </w:t>
      </w:r>
      <w:r w:rsidRPr="00D91731">
        <w:rPr>
          <w:rFonts w:asciiTheme="majorHAnsi" w:hAnsiTheme="majorHAnsi"/>
          <w:sz w:val="20"/>
          <w:szCs w:val="20"/>
          <w:lang w:val="fr-CH"/>
        </w:rPr>
        <w:t xml:space="preserve">des gouvernements provinciaux. Elles ont des responsabilités locales et plus immédiates comme l’entretien des routes, la police municipale, la collecte et la gestion des déchets, l’alimentation en eau. Les municipalités peuvent à l’occasion faire l’objet de pressions importantes lorsque le gouvernement central utilise son </w:t>
      </w:r>
      <w:r w:rsidRPr="00D91731">
        <w:rPr>
          <w:rFonts w:asciiTheme="majorHAnsi" w:hAnsiTheme="majorHAnsi"/>
          <w:i/>
          <w:sz w:val="20"/>
          <w:szCs w:val="20"/>
          <w:lang w:val="fr-CH"/>
        </w:rPr>
        <w:t>pouvoir de dépenser</w:t>
      </w:r>
      <w:r w:rsidRPr="00D91731">
        <w:rPr>
          <w:rFonts w:asciiTheme="majorHAnsi" w:hAnsiTheme="majorHAnsi"/>
          <w:sz w:val="20"/>
          <w:szCs w:val="20"/>
          <w:lang w:val="fr-CH"/>
        </w:rPr>
        <w:t xml:space="preserve"> pour faire des incursions dans les champs de compétences provinciales.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center"/>
        <w:rPr>
          <w:rFonts w:asciiTheme="majorHAnsi" w:hAnsiTheme="majorHAnsi"/>
          <w:b/>
          <w:sz w:val="20"/>
          <w:szCs w:val="20"/>
          <w:lang w:val="fr-CH"/>
        </w:rPr>
      </w:pPr>
      <w:r w:rsidRPr="00D91731">
        <w:rPr>
          <w:rFonts w:asciiTheme="majorHAnsi" w:hAnsiTheme="majorHAnsi"/>
          <w:b/>
          <w:sz w:val="20"/>
          <w:szCs w:val="20"/>
          <w:lang w:val="fr-CH"/>
        </w:rPr>
        <w:t xml:space="preserve">Tableau 2 : Affectation de l’impôt, </w:t>
      </w:r>
      <w:r w:rsidR="009205E5" w:rsidRPr="003061F8">
        <w:rPr>
          <w:rFonts w:asciiTheme="majorHAnsi" w:hAnsiTheme="majorHAnsi"/>
          <w:b/>
          <w:sz w:val="20"/>
          <w:szCs w:val="20"/>
          <w:lang w:val="fr-CH"/>
        </w:rPr>
        <w:t>f</w:t>
      </w:r>
      <w:r w:rsidRPr="00D91731">
        <w:rPr>
          <w:rFonts w:asciiTheme="majorHAnsi" w:hAnsiTheme="majorHAnsi"/>
          <w:b/>
          <w:sz w:val="20"/>
          <w:szCs w:val="20"/>
          <w:lang w:val="fr-CH"/>
        </w:rPr>
        <w:t xml:space="preserve">édéral, </w:t>
      </w:r>
      <w:r w:rsidR="009205E5" w:rsidRPr="003061F8">
        <w:rPr>
          <w:rFonts w:asciiTheme="majorHAnsi" w:hAnsiTheme="majorHAnsi"/>
          <w:b/>
          <w:sz w:val="20"/>
          <w:szCs w:val="20"/>
          <w:lang w:val="fr-CH"/>
        </w:rPr>
        <w:t>p</w:t>
      </w:r>
      <w:r w:rsidRPr="00D91731">
        <w:rPr>
          <w:rFonts w:asciiTheme="majorHAnsi" w:hAnsiTheme="majorHAnsi"/>
          <w:b/>
          <w:sz w:val="20"/>
          <w:szCs w:val="20"/>
          <w:lang w:val="fr-CH"/>
        </w:rPr>
        <w:t xml:space="preserve">rovincial, </w:t>
      </w:r>
      <w:r w:rsidR="009205E5" w:rsidRPr="003061F8">
        <w:rPr>
          <w:rFonts w:asciiTheme="majorHAnsi" w:hAnsiTheme="majorHAnsi"/>
          <w:b/>
          <w:sz w:val="20"/>
          <w:szCs w:val="20"/>
          <w:lang w:val="fr-CH"/>
        </w:rPr>
        <w:t>m</w:t>
      </w:r>
      <w:r w:rsidRPr="00D91731">
        <w:rPr>
          <w:rFonts w:asciiTheme="majorHAnsi" w:hAnsiTheme="majorHAnsi"/>
          <w:b/>
          <w:sz w:val="20"/>
          <w:szCs w:val="20"/>
          <w:lang w:val="fr-CH"/>
        </w:rPr>
        <w:t>unicipal/</w:t>
      </w:r>
    </w:p>
    <w:p w:rsidR="001828DE" w:rsidRDefault="00D91731">
      <w:pPr>
        <w:spacing w:line="360" w:lineRule="auto"/>
        <w:jc w:val="center"/>
        <w:rPr>
          <w:rFonts w:asciiTheme="majorHAnsi" w:hAnsiTheme="majorHAnsi"/>
          <w:b/>
          <w:i/>
          <w:sz w:val="20"/>
          <w:szCs w:val="20"/>
          <w:lang w:val="fr-CH"/>
        </w:rPr>
      </w:pPr>
      <w:proofErr w:type="spellStart"/>
      <w:r w:rsidRPr="00D91731">
        <w:rPr>
          <w:rFonts w:asciiTheme="majorHAnsi" w:hAnsiTheme="majorHAnsi"/>
          <w:b/>
          <w:i/>
          <w:sz w:val="20"/>
          <w:szCs w:val="20"/>
          <w:lang w:val="fr-CH"/>
        </w:rPr>
        <w:t>Tax</w:t>
      </w:r>
      <w:proofErr w:type="spellEnd"/>
      <w:r w:rsidRPr="00D91731">
        <w:rPr>
          <w:rFonts w:asciiTheme="majorHAnsi" w:hAnsiTheme="majorHAnsi"/>
          <w:b/>
          <w:i/>
          <w:sz w:val="20"/>
          <w:szCs w:val="20"/>
          <w:lang w:val="fr-CH"/>
        </w:rPr>
        <w:t xml:space="preserve"> </w:t>
      </w:r>
      <w:proofErr w:type="spellStart"/>
      <w:r w:rsidRPr="00D91731">
        <w:rPr>
          <w:rFonts w:asciiTheme="majorHAnsi" w:hAnsiTheme="majorHAnsi"/>
          <w:b/>
          <w:i/>
          <w:sz w:val="20"/>
          <w:szCs w:val="20"/>
          <w:lang w:val="fr-CH"/>
        </w:rPr>
        <w:t>Assignment</w:t>
      </w:r>
      <w:proofErr w:type="spellEnd"/>
      <w:r w:rsidRPr="00D91731">
        <w:rPr>
          <w:rFonts w:asciiTheme="majorHAnsi" w:hAnsiTheme="majorHAnsi"/>
          <w:b/>
          <w:i/>
          <w:sz w:val="20"/>
          <w:szCs w:val="20"/>
          <w:lang w:val="fr-CH"/>
        </w:rPr>
        <w:t xml:space="preserve">: </w:t>
      </w:r>
      <w:proofErr w:type="spellStart"/>
      <w:r w:rsidRPr="00D91731">
        <w:rPr>
          <w:rFonts w:asciiTheme="majorHAnsi" w:hAnsiTheme="majorHAnsi"/>
          <w:b/>
          <w:i/>
          <w:sz w:val="20"/>
          <w:szCs w:val="20"/>
          <w:lang w:val="fr-CH"/>
        </w:rPr>
        <w:t>Federal</w:t>
      </w:r>
      <w:proofErr w:type="spellEnd"/>
      <w:r w:rsidRPr="00D91731">
        <w:rPr>
          <w:rFonts w:asciiTheme="majorHAnsi" w:hAnsiTheme="majorHAnsi"/>
          <w:b/>
          <w:i/>
          <w:sz w:val="20"/>
          <w:szCs w:val="20"/>
          <w:lang w:val="fr-CH"/>
        </w:rPr>
        <w:t>, Provincial, Municipal</w:t>
      </w:r>
    </w:p>
    <w:p w:rsidR="001828DE" w:rsidRDefault="001828DE">
      <w:pPr>
        <w:spacing w:line="360" w:lineRule="auto"/>
        <w:rPr>
          <w:rFonts w:asciiTheme="majorHAnsi" w:hAnsiTheme="majorHAnsi"/>
          <w:sz w:val="20"/>
          <w:szCs w:val="20"/>
          <w:lang w:val="en-CA"/>
        </w:rPr>
      </w:pPr>
    </w:p>
    <w:tbl>
      <w:tblPr>
        <w:tblStyle w:val="TableGrid"/>
        <w:tblW w:w="0" w:type="auto"/>
        <w:tblLook w:val="04A0"/>
      </w:tblPr>
      <w:tblGrid>
        <w:gridCol w:w="4361"/>
        <w:gridCol w:w="1640"/>
        <w:gridCol w:w="1640"/>
        <w:gridCol w:w="1640"/>
      </w:tblGrid>
      <w:tr w:rsidR="009205E5" w:rsidRPr="003061F8">
        <w:tc>
          <w:tcPr>
            <w:tcW w:w="4361" w:type="dxa"/>
          </w:tcPr>
          <w:p w:rsidR="001828DE" w:rsidRDefault="001828DE">
            <w:pPr>
              <w:spacing w:line="360" w:lineRule="auto"/>
              <w:rPr>
                <w:rFonts w:asciiTheme="majorHAnsi" w:hAnsiTheme="majorHAnsi"/>
                <w:sz w:val="20"/>
                <w:szCs w:val="20"/>
                <w:lang w:val="en-CA"/>
              </w:rPr>
            </w:pPr>
          </w:p>
        </w:tc>
        <w:tc>
          <w:tcPr>
            <w:tcW w:w="1640" w:type="dxa"/>
          </w:tcPr>
          <w:p w:rsidR="001828DE" w:rsidRDefault="009205E5">
            <w:pPr>
              <w:spacing w:line="360" w:lineRule="auto"/>
              <w:jc w:val="center"/>
              <w:rPr>
                <w:rFonts w:asciiTheme="majorHAnsi" w:hAnsiTheme="majorHAnsi"/>
                <w:sz w:val="20"/>
                <w:szCs w:val="20"/>
                <w:lang w:val="en-CA"/>
              </w:rPr>
            </w:pPr>
            <w:r w:rsidRPr="003061F8">
              <w:rPr>
                <w:rFonts w:asciiTheme="majorHAnsi" w:hAnsiTheme="majorHAnsi"/>
                <w:b/>
                <w:sz w:val="20"/>
                <w:szCs w:val="20"/>
                <w:lang w:val="fr-CH"/>
              </w:rPr>
              <w:t>Fédéral</w:t>
            </w:r>
          </w:p>
        </w:tc>
        <w:tc>
          <w:tcPr>
            <w:tcW w:w="1640" w:type="dxa"/>
          </w:tcPr>
          <w:p w:rsidR="001828DE" w:rsidRDefault="009205E5">
            <w:pPr>
              <w:spacing w:line="360" w:lineRule="auto"/>
              <w:jc w:val="center"/>
              <w:rPr>
                <w:rFonts w:asciiTheme="majorHAnsi" w:hAnsiTheme="majorHAnsi"/>
                <w:sz w:val="20"/>
                <w:szCs w:val="20"/>
                <w:lang w:val="en-CA"/>
              </w:rPr>
            </w:pPr>
            <w:r w:rsidRPr="003061F8">
              <w:rPr>
                <w:rFonts w:asciiTheme="majorHAnsi" w:hAnsiTheme="majorHAnsi"/>
                <w:b/>
                <w:sz w:val="20"/>
                <w:szCs w:val="20"/>
                <w:lang w:val="fr-CH"/>
              </w:rPr>
              <w:t>Provincial</w:t>
            </w:r>
          </w:p>
        </w:tc>
        <w:tc>
          <w:tcPr>
            <w:tcW w:w="1640" w:type="dxa"/>
          </w:tcPr>
          <w:p w:rsidR="001828DE" w:rsidRDefault="009205E5">
            <w:pPr>
              <w:spacing w:line="360" w:lineRule="auto"/>
              <w:jc w:val="center"/>
              <w:rPr>
                <w:rFonts w:asciiTheme="majorHAnsi" w:hAnsiTheme="majorHAnsi"/>
                <w:sz w:val="20"/>
                <w:szCs w:val="20"/>
                <w:lang w:val="en-CA"/>
              </w:rPr>
            </w:pPr>
            <w:r w:rsidRPr="003061F8">
              <w:rPr>
                <w:rFonts w:asciiTheme="majorHAnsi" w:hAnsiTheme="majorHAnsi"/>
                <w:b/>
                <w:sz w:val="20"/>
                <w:szCs w:val="20"/>
                <w:lang w:val="fr-CH"/>
              </w:rPr>
              <w:t>Municipal</w:t>
            </w:r>
          </w:p>
        </w:tc>
      </w:tr>
      <w:tr w:rsidR="00FD0F98" w:rsidRPr="003061F8">
        <w:tc>
          <w:tcPr>
            <w:tcW w:w="9281" w:type="dxa"/>
            <w:gridSpan w:val="4"/>
          </w:tcPr>
          <w:p w:rsidR="001828DE" w:rsidRDefault="00D91731">
            <w:pPr>
              <w:spacing w:line="360" w:lineRule="auto"/>
              <w:rPr>
                <w:rFonts w:asciiTheme="majorHAnsi" w:hAnsiTheme="majorHAnsi"/>
                <w:sz w:val="20"/>
                <w:szCs w:val="20"/>
                <w:lang w:val="en-CA"/>
              </w:rPr>
            </w:pPr>
            <w:r w:rsidRPr="00D91731">
              <w:rPr>
                <w:rFonts w:asciiTheme="majorHAnsi" w:hAnsiTheme="majorHAnsi"/>
                <w:b/>
                <w:sz w:val="20"/>
                <w:szCs w:val="20"/>
                <w:lang w:val="fr-CH"/>
              </w:rPr>
              <w:t>Fédéral/</w:t>
            </w:r>
            <w:proofErr w:type="spellStart"/>
            <w:r w:rsidRPr="00D91731">
              <w:rPr>
                <w:rFonts w:asciiTheme="majorHAnsi" w:hAnsiTheme="majorHAnsi"/>
                <w:b/>
                <w:i/>
                <w:sz w:val="20"/>
                <w:szCs w:val="20"/>
                <w:lang w:val="fr-CH"/>
              </w:rPr>
              <w:t>Federal</w:t>
            </w:r>
            <w:proofErr w:type="spellEnd"/>
          </w:p>
        </w:tc>
      </w:tr>
      <w:tr w:rsidR="009205E5"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Impôt sur le revenu (</w:t>
            </w:r>
            <w:proofErr w:type="spellStart"/>
            <w:r w:rsidRPr="00D91731">
              <w:rPr>
                <w:rFonts w:asciiTheme="majorHAnsi" w:hAnsiTheme="majorHAnsi"/>
                <w:i/>
                <w:sz w:val="20"/>
                <w:szCs w:val="20"/>
                <w:lang w:val="fr-CH"/>
              </w:rPr>
              <w:t>Income</w:t>
            </w:r>
            <w:proofErr w:type="spellEnd"/>
            <w:r w:rsidRPr="00D91731">
              <w:rPr>
                <w:rFonts w:asciiTheme="majorHAnsi" w:hAnsiTheme="majorHAnsi"/>
                <w:i/>
                <w:sz w:val="20"/>
                <w:szCs w:val="20"/>
                <w:lang w:val="fr-CH"/>
              </w:rPr>
              <w:t xml:space="preserve"> </w:t>
            </w:r>
            <w:proofErr w:type="spellStart"/>
            <w:r w:rsidRPr="00D91731">
              <w:rPr>
                <w:rFonts w:asciiTheme="majorHAnsi" w:hAnsiTheme="majorHAnsi"/>
                <w:i/>
                <w:sz w:val="20"/>
                <w:szCs w:val="20"/>
                <w:lang w:val="fr-CH"/>
              </w:rPr>
              <w:t>Tax</w:t>
            </w:r>
            <w:proofErr w:type="spellEnd"/>
            <w:r w:rsidR="009205E5" w:rsidRPr="003061F8">
              <w:rPr>
                <w:rFonts w:asciiTheme="majorHAnsi" w:hAnsiTheme="majorHAnsi"/>
                <w:sz w:val="20"/>
                <w:szCs w:val="20"/>
                <w:lang w:val="fr-CH"/>
              </w:rPr>
              <w:t>)</w:t>
            </w:r>
          </w:p>
        </w:tc>
        <w:tc>
          <w:tcPr>
            <w:tcW w:w="1640" w:type="dxa"/>
          </w:tcPr>
          <w:p w:rsidR="001828DE" w:rsidRDefault="009205E5">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64,7%</w:t>
            </w:r>
          </w:p>
        </w:tc>
        <w:tc>
          <w:tcPr>
            <w:tcW w:w="1640" w:type="dxa"/>
          </w:tcPr>
          <w:p w:rsidR="001828DE" w:rsidRDefault="009205E5">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35,3%</w:t>
            </w:r>
          </w:p>
        </w:tc>
        <w:tc>
          <w:tcPr>
            <w:tcW w:w="1640" w:type="dxa"/>
          </w:tcPr>
          <w:p w:rsidR="001828DE" w:rsidRDefault="009205E5">
            <w:pPr>
              <w:spacing w:line="360" w:lineRule="auto"/>
              <w:jc w:val="center"/>
              <w:rPr>
                <w:rFonts w:asciiTheme="majorHAnsi" w:hAnsiTheme="majorHAnsi"/>
                <w:sz w:val="20"/>
                <w:szCs w:val="20"/>
                <w:lang w:val="fr-CH"/>
              </w:rPr>
            </w:pPr>
            <w:r w:rsidRPr="003061F8">
              <w:rPr>
                <w:rFonts w:asciiTheme="majorHAnsi" w:hAnsiTheme="majorHAnsi"/>
                <w:sz w:val="20"/>
                <w:szCs w:val="20"/>
                <w:lang w:val="en-CA"/>
              </w:rPr>
              <w:t>0</w:t>
            </w:r>
            <w:r w:rsidR="00C31A3C" w:rsidRPr="003061F8">
              <w:rPr>
                <w:rFonts w:asciiTheme="majorHAnsi" w:hAnsiTheme="majorHAnsi"/>
                <w:sz w:val="20"/>
                <w:szCs w:val="20"/>
                <w:lang w:val="en-CA"/>
              </w:rPr>
              <w:t>%</w:t>
            </w:r>
          </w:p>
        </w:tc>
      </w:tr>
      <w:tr w:rsidR="009205E5" w:rsidRPr="003061F8">
        <w:tc>
          <w:tcPr>
            <w:tcW w:w="4361" w:type="dxa"/>
          </w:tcPr>
          <w:p w:rsidR="001828DE" w:rsidRDefault="009205E5">
            <w:pPr>
              <w:spacing w:line="360" w:lineRule="auto"/>
              <w:rPr>
                <w:rFonts w:asciiTheme="majorHAnsi" w:hAnsiTheme="majorHAnsi"/>
                <w:sz w:val="20"/>
                <w:szCs w:val="20"/>
                <w:lang w:val="fr-CH"/>
              </w:rPr>
            </w:pPr>
            <w:r w:rsidRPr="003061F8">
              <w:rPr>
                <w:rFonts w:asciiTheme="majorHAnsi" w:hAnsiTheme="majorHAnsi"/>
                <w:sz w:val="20"/>
                <w:szCs w:val="20"/>
                <w:lang w:val="fr-CH"/>
              </w:rPr>
              <w:t>Taxe à la consommation (</w:t>
            </w:r>
            <w:r w:rsidR="00D91731" w:rsidRPr="00D91731">
              <w:rPr>
                <w:rFonts w:asciiTheme="majorHAnsi" w:hAnsiTheme="majorHAnsi"/>
                <w:i/>
                <w:sz w:val="20"/>
                <w:szCs w:val="20"/>
                <w:lang w:val="fr-CH"/>
              </w:rPr>
              <w:t xml:space="preserve">Consumer </w:t>
            </w:r>
            <w:proofErr w:type="spellStart"/>
            <w:r w:rsidR="00D91731" w:rsidRPr="00D91731">
              <w:rPr>
                <w:rFonts w:asciiTheme="majorHAnsi" w:hAnsiTheme="majorHAnsi"/>
                <w:i/>
                <w:sz w:val="20"/>
                <w:szCs w:val="20"/>
                <w:lang w:val="fr-CH"/>
              </w:rPr>
              <w:t>Tax</w:t>
            </w:r>
            <w:proofErr w:type="spellEnd"/>
            <w:r w:rsidRPr="003061F8">
              <w:rPr>
                <w:rFonts w:asciiTheme="majorHAnsi" w:hAnsiTheme="majorHAnsi"/>
                <w:sz w:val="20"/>
                <w:szCs w:val="20"/>
                <w:lang w:val="fr-CH"/>
              </w:rPr>
              <w:t>)</w:t>
            </w:r>
          </w:p>
        </w:tc>
        <w:tc>
          <w:tcPr>
            <w:tcW w:w="1640" w:type="dxa"/>
          </w:tcPr>
          <w:p w:rsidR="001828DE" w:rsidRDefault="009205E5">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45,3%</w:t>
            </w:r>
          </w:p>
        </w:tc>
        <w:tc>
          <w:tcPr>
            <w:tcW w:w="1640" w:type="dxa"/>
          </w:tcPr>
          <w:p w:rsidR="001828DE" w:rsidRDefault="009205E5">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54,75%</w:t>
            </w:r>
          </w:p>
        </w:tc>
        <w:tc>
          <w:tcPr>
            <w:tcW w:w="1640" w:type="dxa"/>
          </w:tcPr>
          <w:p w:rsidR="001828DE" w:rsidRDefault="009205E5">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r w:rsidR="00C31A3C" w:rsidRPr="003061F8">
              <w:rPr>
                <w:rFonts w:asciiTheme="majorHAnsi" w:hAnsiTheme="majorHAnsi"/>
                <w:sz w:val="20"/>
                <w:szCs w:val="20"/>
                <w:lang w:val="fr-CH"/>
              </w:rPr>
              <w:t>%</w:t>
            </w:r>
          </w:p>
        </w:tc>
      </w:tr>
      <w:tr w:rsidR="009205E5" w:rsidRPr="003061F8">
        <w:tc>
          <w:tcPr>
            <w:tcW w:w="4361" w:type="dxa"/>
          </w:tcPr>
          <w:p w:rsidR="001828DE" w:rsidRDefault="009205E5">
            <w:pPr>
              <w:spacing w:line="360" w:lineRule="auto"/>
              <w:rPr>
                <w:rFonts w:asciiTheme="majorHAnsi" w:hAnsiTheme="majorHAnsi"/>
                <w:sz w:val="20"/>
                <w:szCs w:val="20"/>
                <w:lang w:val="fr-CH"/>
              </w:rPr>
            </w:pPr>
            <w:r w:rsidRPr="003061F8">
              <w:rPr>
                <w:rFonts w:asciiTheme="majorHAnsi" w:hAnsiTheme="majorHAnsi"/>
                <w:sz w:val="20"/>
                <w:szCs w:val="20"/>
                <w:lang w:val="fr-CH"/>
              </w:rPr>
              <w:t>Retenues sur la paie (</w:t>
            </w:r>
            <w:proofErr w:type="spellStart"/>
            <w:r w:rsidR="00D91731" w:rsidRPr="00D91731">
              <w:rPr>
                <w:rFonts w:asciiTheme="majorHAnsi" w:hAnsiTheme="majorHAnsi"/>
                <w:i/>
                <w:sz w:val="20"/>
                <w:szCs w:val="20"/>
                <w:lang w:val="fr-CH"/>
              </w:rPr>
              <w:t>Payroll</w:t>
            </w:r>
            <w:proofErr w:type="spellEnd"/>
            <w:r w:rsidR="00D91731" w:rsidRPr="00D91731">
              <w:rPr>
                <w:rFonts w:asciiTheme="majorHAnsi" w:hAnsiTheme="majorHAnsi"/>
                <w:i/>
                <w:sz w:val="20"/>
                <w:szCs w:val="20"/>
                <w:lang w:val="fr-CH"/>
              </w:rPr>
              <w:t xml:space="preserve"> </w:t>
            </w:r>
            <w:proofErr w:type="spellStart"/>
            <w:r w:rsidR="00D91731" w:rsidRPr="00D91731">
              <w:rPr>
                <w:rFonts w:asciiTheme="majorHAnsi" w:hAnsiTheme="majorHAnsi"/>
                <w:i/>
                <w:sz w:val="20"/>
                <w:szCs w:val="20"/>
                <w:lang w:val="fr-CH"/>
              </w:rPr>
              <w:t>Tax</w:t>
            </w:r>
            <w:proofErr w:type="spellEnd"/>
            <w:r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68,6%</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31,4%</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r>
      <w:tr w:rsidR="009205E5"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Frais d’utilisation (</w:t>
            </w:r>
            <w:r w:rsidRPr="00D91731">
              <w:rPr>
                <w:rFonts w:asciiTheme="majorHAnsi" w:hAnsiTheme="majorHAnsi"/>
                <w:i/>
                <w:sz w:val="20"/>
                <w:szCs w:val="20"/>
                <w:lang w:val="fr-CH"/>
              </w:rPr>
              <w:t xml:space="preserve">User </w:t>
            </w:r>
            <w:proofErr w:type="spellStart"/>
            <w:r w:rsidRPr="00D91731">
              <w:rPr>
                <w:rFonts w:asciiTheme="majorHAnsi" w:hAnsiTheme="majorHAnsi"/>
                <w:i/>
                <w:sz w:val="20"/>
                <w:szCs w:val="20"/>
                <w:lang w:val="fr-CH"/>
              </w:rPr>
              <w:t>Fees</w:t>
            </w:r>
            <w:proofErr w:type="spellEnd"/>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24,4%</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23,3%</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52,3%</w:t>
            </w:r>
          </w:p>
        </w:tc>
      </w:tr>
      <w:tr w:rsidR="00FD0F98" w:rsidRPr="003061F8">
        <w:tc>
          <w:tcPr>
            <w:tcW w:w="9281" w:type="dxa"/>
            <w:gridSpan w:val="4"/>
          </w:tcPr>
          <w:p w:rsidR="001828DE" w:rsidRDefault="00D91731">
            <w:pPr>
              <w:spacing w:line="360" w:lineRule="auto"/>
              <w:rPr>
                <w:rFonts w:asciiTheme="majorHAnsi" w:hAnsiTheme="majorHAnsi"/>
                <w:sz w:val="20"/>
                <w:szCs w:val="20"/>
                <w:lang w:val="fr-CH"/>
              </w:rPr>
            </w:pPr>
            <w:r w:rsidRPr="00D91731">
              <w:rPr>
                <w:rFonts w:asciiTheme="majorHAnsi" w:hAnsiTheme="majorHAnsi"/>
                <w:b/>
                <w:sz w:val="20"/>
                <w:szCs w:val="20"/>
                <w:lang w:val="fr-CH"/>
              </w:rPr>
              <w:t>Provincial/</w:t>
            </w:r>
            <w:r w:rsidRPr="00D91731">
              <w:rPr>
                <w:rFonts w:asciiTheme="majorHAnsi" w:hAnsiTheme="majorHAnsi"/>
                <w:b/>
                <w:i/>
                <w:sz w:val="20"/>
                <w:szCs w:val="20"/>
                <w:lang w:val="fr-CH"/>
              </w:rPr>
              <w:t>Provincial</w:t>
            </w:r>
          </w:p>
        </w:tc>
      </w:tr>
      <w:tr w:rsidR="009205E5"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Impôt sur le revenu (</w:t>
            </w:r>
            <w:proofErr w:type="spellStart"/>
            <w:r w:rsidRPr="00D91731">
              <w:rPr>
                <w:rFonts w:asciiTheme="majorHAnsi" w:hAnsiTheme="majorHAnsi"/>
                <w:i/>
                <w:sz w:val="20"/>
                <w:szCs w:val="20"/>
                <w:lang w:val="fr-CH"/>
              </w:rPr>
              <w:t>Income</w:t>
            </w:r>
            <w:proofErr w:type="spellEnd"/>
            <w:r w:rsidRPr="00D91731">
              <w:rPr>
                <w:rFonts w:asciiTheme="majorHAnsi" w:hAnsiTheme="majorHAnsi"/>
                <w:i/>
                <w:sz w:val="20"/>
                <w:szCs w:val="20"/>
                <w:lang w:val="fr-CH"/>
              </w:rPr>
              <w:t xml:space="preserve"> </w:t>
            </w:r>
            <w:proofErr w:type="spellStart"/>
            <w:r w:rsidRPr="00D91731">
              <w:rPr>
                <w:rFonts w:asciiTheme="majorHAnsi" w:hAnsiTheme="majorHAnsi"/>
                <w:i/>
                <w:sz w:val="20"/>
                <w:szCs w:val="20"/>
                <w:lang w:val="fr-CH"/>
              </w:rPr>
              <w:t>Tax</w:t>
            </w:r>
            <w:proofErr w:type="spellEnd"/>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64,7%</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35,3%</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r>
      <w:tr w:rsidR="00C31A3C"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Taxe à la consommation (</w:t>
            </w:r>
            <w:r w:rsidRPr="00D91731">
              <w:rPr>
                <w:rFonts w:asciiTheme="majorHAnsi" w:hAnsiTheme="majorHAnsi"/>
                <w:i/>
                <w:sz w:val="20"/>
                <w:szCs w:val="20"/>
                <w:lang w:val="fr-CH"/>
              </w:rPr>
              <w:t xml:space="preserve">Consumer </w:t>
            </w:r>
            <w:proofErr w:type="spellStart"/>
            <w:r w:rsidRPr="00D91731">
              <w:rPr>
                <w:rFonts w:asciiTheme="majorHAnsi" w:hAnsiTheme="majorHAnsi"/>
                <w:i/>
                <w:sz w:val="20"/>
                <w:szCs w:val="20"/>
                <w:lang w:val="fr-CH"/>
              </w:rPr>
              <w:t>Tax</w:t>
            </w:r>
            <w:proofErr w:type="spellEnd"/>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45,3%</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54,7%</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r>
      <w:tr w:rsidR="00C31A3C"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Retenues sur la paie (</w:t>
            </w:r>
            <w:proofErr w:type="spellStart"/>
            <w:r w:rsidRPr="00D91731">
              <w:rPr>
                <w:rFonts w:asciiTheme="majorHAnsi" w:hAnsiTheme="majorHAnsi"/>
                <w:i/>
                <w:sz w:val="20"/>
                <w:szCs w:val="20"/>
                <w:lang w:val="fr-CH"/>
              </w:rPr>
              <w:t>Payroll</w:t>
            </w:r>
            <w:proofErr w:type="spellEnd"/>
            <w:r w:rsidRPr="00D91731">
              <w:rPr>
                <w:rFonts w:asciiTheme="majorHAnsi" w:hAnsiTheme="majorHAnsi"/>
                <w:i/>
                <w:sz w:val="20"/>
                <w:szCs w:val="20"/>
                <w:lang w:val="fr-CH"/>
              </w:rPr>
              <w:t xml:space="preserve"> </w:t>
            </w:r>
            <w:proofErr w:type="spellStart"/>
            <w:r w:rsidR="00C31A3C" w:rsidRPr="003061F8">
              <w:rPr>
                <w:rFonts w:asciiTheme="majorHAnsi" w:hAnsiTheme="majorHAnsi"/>
                <w:i/>
                <w:sz w:val="20"/>
                <w:szCs w:val="20"/>
                <w:lang w:val="fr-CH"/>
              </w:rPr>
              <w:t>T</w:t>
            </w:r>
            <w:r w:rsidRPr="00D91731">
              <w:rPr>
                <w:rFonts w:asciiTheme="majorHAnsi" w:hAnsiTheme="majorHAnsi"/>
                <w:i/>
                <w:sz w:val="20"/>
                <w:szCs w:val="20"/>
                <w:lang w:val="fr-CH"/>
              </w:rPr>
              <w:t>ax</w:t>
            </w:r>
            <w:proofErr w:type="spellEnd"/>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68,6%</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31,4%</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r>
      <w:tr w:rsidR="00C31A3C"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Droits d’usagers (</w:t>
            </w:r>
            <w:r w:rsidRPr="00D91731">
              <w:rPr>
                <w:rFonts w:asciiTheme="majorHAnsi" w:hAnsiTheme="majorHAnsi"/>
                <w:i/>
                <w:sz w:val="20"/>
                <w:szCs w:val="20"/>
                <w:lang w:val="fr-CH"/>
              </w:rPr>
              <w:t xml:space="preserve">User </w:t>
            </w:r>
            <w:proofErr w:type="spellStart"/>
            <w:r w:rsidRPr="00D91731">
              <w:rPr>
                <w:rFonts w:asciiTheme="majorHAnsi" w:hAnsiTheme="majorHAnsi"/>
                <w:i/>
                <w:sz w:val="20"/>
                <w:szCs w:val="20"/>
                <w:lang w:val="fr-CH"/>
              </w:rPr>
              <w:t>Fees</w:t>
            </w:r>
            <w:proofErr w:type="spellEnd"/>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24,4%</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23,3%</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52,3%</w:t>
            </w:r>
          </w:p>
        </w:tc>
      </w:tr>
      <w:tr w:rsidR="00C31A3C"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Redevances sur les ressources naturelles (</w:t>
            </w:r>
            <w:r w:rsidRPr="00D91731">
              <w:rPr>
                <w:rFonts w:asciiTheme="majorHAnsi" w:hAnsiTheme="majorHAnsi"/>
                <w:i/>
                <w:sz w:val="20"/>
                <w:szCs w:val="20"/>
                <w:lang w:val="fr-CH"/>
              </w:rPr>
              <w:t>Natural Resources Royalties</w:t>
            </w:r>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100%</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r>
      <w:tr w:rsidR="00C31A3C" w:rsidRPr="003061F8">
        <w:tc>
          <w:tcPr>
            <w:tcW w:w="4361" w:type="dxa"/>
          </w:tcPr>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A"/>
              </w:rPr>
              <w:t>Primes Assurance Maladie (</w:t>
            </w:r>
            <w:proofErr w:type="spellStart"/>
            <w:r w:rsidRPr="00D91731">
              <w:rPr>
                <w:rFonts w:asciiTheme="majorHAnsi" w:hAnsiTheme="majorHAnsi"/>
                <w:i/>
                <w:sz w:val="20"/>
                <w:szCs w:val="20"/>
                <w:lang w:val="fr-CA"/>
              </w:rPr>
              <w:t>Health</w:t>
            </w:r>
            <w:proofErr w:type="spellEnd"/>
            <w:r w:rsidRPr="00D91731">
              <w:rPr>
                <w:rFonts w:asciiTheme="majorHAnsi" w:hAnsiTheme="majorHAnsi"/>
                <w:i/>
                <w:sz w:val="20"/>
                <w:szCs w:val="20"/>
                <w:lang w:val="fr-CA"/>
              </w:rPr>
              <w:t xml:space="preserve"> Premiums</w:t>
            </w:r>
            <w:r w:rsidR="00C31A3C" w:rsidRPr="003061F8">
              <w:rPr>
                <w:rFonts w:asciiTheme="majorHAnsi" w:hAnsiTheme="majorHAnsi"/>
                <w:sz w:val="20"/>
                <w:szCs w:val="20"/>
                <w:lang w:val="fr-CA"/>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100%</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r>
      <w:tr w:rsidR="00C31A3C" w:rsidRPr="003061F8">
        <w:tc>
          <w:tcPr>
            <w:tcW w:w="4361" w:type="dxa"/>
          </w:tcPr>
          <w:p w:rsidR="001828DE" w:rsidRDefault="00D91731">
            <w:pPr>
              <w:spacing w:line="360" w:lineRule="auto"/>
              <w:rPr>
                <w:rFonts w:asciiTheme="majorHAnsi" w:hAnsiTheme="majorHAnsi"/>
                <w:sz w:val="20"/>
                <w:szCs w:val="20"/>
                <w:lang w:val="fr-CA"/>
              </w:rPr>
            </w:pPr>
            <w:r w:rsidRPr="00D91731">
              <w:rPr>
                <w:rFonts w:asciiTheme="majorHAnsi" w:hAnsiTheme="majorHAnsi"/>
                <w:sz w:val="20"/>
                <w:szCs w:val="20"/>
                <w:lang w:val="fr-CH"/>
              </w:rPr>
              <w:t>Taxe foncière sur la propriété (</w:t>
            </w:r>
            <w:proofErr w:type="spellStart"/>
            <w:r w:rsidRPr="00D91731">
              <w:rPr>
                <w:rFonts w:asciiTheme="majorHAnsi" w:hAnsiTheme="majorHAnsi"/>
                <w:i/>
                <w:sz w:val="20"/>
                <w:szCs w:val="20"/>
                <w:lang w:val="fr-CH"/>
              </w:rPr>
              <w:t>Property</w:t>
            </w:r>
            <w:proofErr w:type="spellEnd"/>
            <w:r w:rsidRPr="00D91731">
              <w:rPr>
                <w:rFonts w:asciiTheme="majorHAnsi" w:hAnsiTheme="majorHAnsi"/>
                <w:i/>
                <w:sz w:val="20"/>
                <w:szCs w:val="20"/>
                <w:lang w:val="fr-CH"/>
              </w:rPr>
              <w:t xml:space="preserve"> </w:t>
            </w:r>
            <w:proofErr w:type="spellStart"/>
            <w:r w:rsidRPr="00D91731">
              <w:rPr>
                <w:rFonts w:asciiTheme="majorHAnsi" w:hAnsiTheme="majorHAnsi"/>
                <w:i/>
                <w:sz w:val="20"/>
                <w:szCs w:val="20"/>
                <w:lang w:val="fr-CH"/>
              </w:rPr>
              <w:t>Tax</w:t>
            </w:r>
            <w:proofErr w:type="spellEnd"/>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2,2%</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97,8%</w:t>
            </w:r>
          </w:p>
        </w:tc>
      </w:tr>
      <w:tr w:rsidR="00FD0F98" w:rsidRPr="003061F8">
        <w:tc>
          <w:tcPr>
            <w:tcW w:w="9281" w:type="dxa"/>
            <w:gridSpan w:val="4"/>
          </w:tcPr>
          <w:p w:rsidR="001828DE" w:rsidRDefault="00D91731">
            <w:pPr>
              <w:spacing w:line="360" w:lineRule="auto"/>
              <w:rPr>
                <w:rFonts w:asciiTheme="majorHAnsi" w:hAnsiTheme="majorHAnsi"/>
                <w:sz w:val="20"/>
                <w:szCs w:val="20"/>
                <w:lang w:val="fr-CH"/>
              </w:rPr>
            </w:pPr>
            <w:r w:rsidRPr="00D91731">
              <w:rPr>
                <w:rFonts w:asciiTheme="majorHAnsi" w:hAnsiTheme="majorHAnsi"/>
                <w:b/>
                <w:sz w:val="20"/>
                <w:szCs w:val="20"/>
                <w:lang w:val="fr-CH"/>
              </w:rPr>
              <w:t>Municipal/</w:t>
            </w:r>
            <w:r w:rsidRPr="00D91731">
              <w:rPr>
                <w:rFonts w:asciiTheme="majorHAnsi" w:hAnsiTheme="majorHAnsi"/>
                <w:b/>
                <w:i/>
                <w:sz w:val="20"/>
                <w:szCs w:val="20"/>
                <w:lang w:val="fr-CH"/>
              </w:rPr>
              <w:t>Local</w:t>
            </w:r>
          </w:p>
        </w:tc>
      </w:tr>
      <w:tr w:rsidR="00C31A3C" w:rsidRPr="003061F8">
        <w:tc>
          <w:tcPr>
            <w:tcW w:w="4361" w:type="dxa"/>
          </w:tcPr>
          <w:p w:rsidR="001828DE" w:rsidRDefault="00D91731">
            <w:pPr>
              <w:spacing w:line="360" w:lineRule="auto"/>
              <w:rPr>
                <w:rFonts w:asciiTheme="majorHAnsi" w:hAnsiTheme="majorHAnsi"/>
                <w:b/>
                <w:sz w:val="20"/>
                <w:szCs w:val="20"/>
                <w:lang w:val="fr-CH"/>
              </w:rPr>
            </w:pPr>
            <w:r w:rsidRPr="00D91731">
              <w:rPr>
                <w:rFonts w:asciiTheme="majorHAnsi" w:hAnsiTheme="majorHAnsi"/>
                <w:sz w:val="20"/>
                <w:szCs w:val="20"/>
                <w:lang w:val="fr-CH"/>
              </w:rPr>
              <w:t>Taxe foncière sur la propriété (</w:t>
            </w:r>
            <w:proofErr w:type="spellStart"/>
            <w:r w:rsidRPr="00D91731">
              <w:rPr>
                <w:rFonts w:asciiTheme="majorHAnsi" w:hAnsiTheme="majorHAnsi"/>
                <w:i/>
                <w:sz w:val="20"/>
                <w:szCs w:val="20"/>
                <w:lang w:val="fr-CH"/>
              </w:rPr>
              <w:t>Property</w:t>
            </w:r>
            <w:proofErr w:type="spellEnd"/>
            <w:r w:rsidRPr="00D91731">
              <w:rPr>
                <w:rFonts w:asciiTheme="majorHAnsi" w:hAnsiTheme="majorHAnsi"/>
                <w:i/>
                <w:sz w:val="20"/>
                <w:szCs w:val="20"/>
                <w:lang w:val="fr-CH"/>
              </w:rPr>
              <w:t xml:space="preserve"> </w:t>
            </w:r>
            <w:proofErr w:type="spellStart"/>
            <w:r w:rsidRPr="00D91731">
              <w:rPr>
                <w:rFonts w:asciiTheme="majorHAnsi" w:hAnsiTheme="majorHAnsi"/>
                <w:i/>
                <w:sz w:val="20"/>
                <w:szCs w:val="20"/>
                <w:lang w:val="fr-CH"/>
              </w:rPr>
              <w:t>Tax</w:t>
            </w:r>
            <w:proofErr w:type="spellEnd"/>
            <w:r w:rsidR="00C31A3C" w:rsidRPr="003061F8">
              <w:rPr>
                <w:rFonts w:asciiTheme="majorHAnsi" w:hAnsiTheme="majorHAnsi"/>
                <w:sz w:val="20"/>
                <w:szCs w:val="20"/>
                <w:lang w:val="fr-CH"/>
              </w:rPr>
              <w:t>)</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0%</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2,2%</w:t>
            </w:r>
          </w:p>
        </w:tc>
        <w:tc>
          <w:tcPr>
            <w:tcW w:w="1640" w:type="dxa"/>
          </w:tcPr>
          <w:p w:rsidR="001828DE" w:rsidRDefault="00C31A3C">
            <w:pPr>
              <w:spacing w:line="360" w:lineRule="auto"/>
              <w:jc w:val="center"/>
              <w:rPr>
                <w:rFonts w:asciiTheme="majorHAnsi" w:hAnsiTheme="majorHAnsi"/>
                <w:sz w:val="20"/>
                <w:szCs w:val="20"/>
                <w:lang w:val="fr-CH"/>
              </w:rPr>
            </w:pPr>
            <w:r w:rsidRPr="003061F8">
              <w:rPr>
                <w:rFonts w:asciiTheme="majorHAnsi" w:hAnsiTheme="majorHAnsi"/>
                <w:sz w:val="20"/>
                <w:szCs w:val="20"/>
                <w:lang w:val="fr-CH"/>
              </w:rPr>
              <w:t>97,8%</w:t>
            </w:r>
          </w:p>
        </w:tc>
      </w:tr>
      <w:tr w:rsidR="00FD0F98" w:rsidRPr="003061F8">
        <w:tc>
          <w:tcPr>
            <w:tcW w:w="4361" w:type="dxa"/>
          </w:tcPr>
          <w:p w:rsidR="001828DE" w:rsidRDefault="00D91731">
            <w:pPr>
              <w:spacing w:line="360" w:lineRule="auto"/>
              <w:rPr>
                <w:rFonts w:asciiTheme="majorHAnsi" w:hAnsiTheme="majorHAnsi"/>
                <w:sz w:val="20"/>
                <w:szCs w:val="20"/>
                <w:lang w:val="fr-CH"/>
              </w:rPr>
            </w:pPr>
            <w:proofErr w:type="spellStart"/>
            <w:r w:rsidRPr="00D91731">
              <w:rPr>
                <w:rFonts w:asciiTheme="majorHAnsi" w:hAnsiTheme="majorHAnsi"/>
                <w:sz w:val="20"/>
                <w:szCs w:val="20"/>
                <w:lang w:val="en-CA"/>
              </w:rPr>
              <w:t>Frais</w:t>
            </w:r>
            <w:proofErr w:type="spellEnd"/>
            <w:r w:rsidRPr="00D91731">
              <w:rPr>
                <w:rFonts w:asciiTheme="majorHAnsi" w:hAnsiTheme="majorHAnsi"/>
                <w:sz w:val="20"/>
                <w:szCs w:val="20"/>
                <w:lang w:val="en-CA"/>
              </w:rPr>
              <w:t xml:space="preserve"> </w:t>
            </w:r>
            <w:proofErr w:type="spellStart"/>
            <w:r w:rsidRPr="00D91731">
              <w:rPr>
                <w:rFonts w:asciiTheme="majorHAnsi" w:hAnsiTheme="majorHAnsi"/>
                <w:sz w:val="20"/>
                <w:szCs w:val="20"/>
                <w:lang w:val="en-CA"/>
              </w:rPr>
              <w:t>d’utilisation</w:t>
            </w:r>
            <w:proofErr w:type="spellEnd"/>
            <w:r w:rsidRPr="00D91731">
              <w:rPr>
                <w:rFonts w:asciiTheme="majorHAnsi" w:hAnsiTheme="majorHAnsi"/>
                <w:sz w:val="20"/>
                <w:szCs w:val="20"/>
                <w:lang w:val="en-CA"/>
              </w:rPr>
              <w:t xml:space="preserve"> (</w:t>
            </w:r>
            <w:r w:rsidRPr="00D91731">
              <w:rPr>
                <w:rFonts w:asciiTheme="majorHAnsi" w:hAnsiTheme="majorHAnsi"/>
                <w:i/>
                <w:sz w:val="20"/>
                <w:szCs w:val="20"/>
                <w:lang w:val="en-CA"/>
              </w:rPr>
              <w:t>User Fees</w:t>
            </w:r>
            <w:r w:rsidR="00FD0F98" w:rsidRPr="003061F8">
              <w:rPr>
                <w:rFonts w:asciiTheme="majorHAnsi" w:hAnsiTheme="majorHAnsi"/>
                <w:sz w:val="20"/>
                <w:szCs w:val="20"/>
                <w:lang w:val="en-CA"/>
              </w:rPr>
              <w:t>)</w:t>
            </w:r>
          </w:p>
        </w:tc>
        <w:tc>
          <w:tcPr>
            <w:tcW w:w="1640" w:type="dxa"/>
          </w:tcPr>
          <w:p w:rsidR="001828DE" w:rsidRDefault="00FD0F98">
            <w:pPr>
              <w:spacing w:line="360" w:lineRule="auto"/>
              <w:jc w:val="center"/>
              <w:rPr>
                <w:rFonts w:asciiTheme="majorHAnsi" w:hAnsiTheme="majorHAnsi"/>
                <w:sz w:val="20"/>
                <w:szCs w:val="20"/>
                <w:lang w:val="fr-CH"/>
              </w:rPr>
            </w:pPr>
            <w:r w:rsidRPr="003061F8">
              <w:rPr>
                <w:rFonts w:asciiTheme="majorHAnsi" w:hAnsiTheme="majorHAnsi"/>
                <w:sz w:val="20"/>
                <w:szCs w:val="20"/>
                <w:lang w:val="en-CA"/>
              </w:rPr>
              <w:t>24,4%</w:t>
            </w:r>
          </w:p>
        </w:tc>
        <w:tc>
          <w:tcPr>
            <w:tcW w:w="1640" w:type="dxa"/>
          </w:tcPr>
          <w:p w:rsidR="001828DE" w:rsidRDefault="00FD0F98">
            <w:pPr>
              <w:spacing w:line="360" w:lineRule="auto"/>
              <w:jc w:val="center"/>
              <w:rPr>
                <w:rFonts w:asciiTheme="majorHAnsi" w:hAnsiTheme="majorHAnsi"/>
                <w:sz w:val="20"/>
                <w:szCs w:val="20"/>
                <w:lang w:val="fr-CH"/>
              </w:rPr>
            </w:pPr>
            <w:r w:rsidRPr="003061F8">
              <w:rPr>
                <w:rFonts w:asciiTheme="majorHAnsi" w:hAnsiTheme="majorHAnsi"/>
                <w:sz w:val="20"/>
                <w:szCs w:val="20"/>
                <w:lang w:val="en-CA"/>
              </w:rPr>
              <w:t>23,2%</w:t>
            </w:r>
          </w:p>
        </w:tc>
        <w:tc>
          <w:tcPr>
            <w:tcW w:w="1640" w:type="dxa"/>
          </w:tcPr>
          <w:p w:rsidR="001828DE" w:rsidRDefault="00FD0F98">
            <w:pPr>
              <w:spacing w:line="360" w:lineRule="auto"/>
              <w:jc w:val="center"/>
              <w:rPr>
                <w:rFonts w:asciiTheme="majorHAnsi" w:hAnsiTheme="majorHAnsi"/>
                <w:sz w:val="20"/>
                <w:szCs w:val="20"/>
                <w:lang w:val="fr-CH"/>
              </w:rPr>
            </w:pPr>
            <w:r w:rsidRPr="003061F8">
              <w:rPr>
                <w:rFonts w:asciiTheme="majorHAnsi" w:hAnsiTheme="majorHAnsi"/>
                <w:sz w:val="20"/>
                <w:szCs w:val="20"/>
                <w:lang w:val="en-CA"/>
              </w:rPr>
              <w:t>52,3%</w:t>
            </w:r>
          </w:p>
        </w:tc>
      </w:tr>
    </w:tbl>
    <w:p w:rsidR="001828DE" w:rsidRDefault="001828DE">
      <w:pPr>
        <w:spacing w:line="360" w:lineRule="auto"/>
        <w:rPr>
          <w:rFonts w:asciiTheme="majorHAnsi" w:hAnsiTheme="majorHAnsi"/>
          <w:sz w:val="20"/>
          <w:szCs w:val="20"/>
          <w:lang w:val="fr-CH"/>
        </w:rPr>
      </w:pPr>
    </w:p>
    <w:p w:rsidR="001828DE" w:rsidRDefault="00D91731">
      <w:pPr>
        <w:spacing w:line="360" w:lineRule="auto"/>
        <w:rPr>
          <w:rFonts w:asciiTheme="majorHAnsi" w:hAnsiTheme="majorHAnsi"/>
          <w:sz w:val="20"/>
          <w:szCs w:val="20"/>
          <w:lang w:val="fr-CH"/>
        </w:rPr>
      </w:pPr>
      <w:proofErr w:type="gramStart"/>
      <w:r w:rsidRPr="00D91731">
        <w:rPr>
          <w:rFonts w:asciiTheme="majorHAnsi" w:hAnsiTheme="majorHAnsi"/>
          <w:sz w:val="20"/>
          <w:szCs w:val="20"/>
          <w:lang w:val="en-CA"/>
        </w:rPr>
        <w:t>Source :</w:t>
      </w:r>
      <w:proofErr w:type="gramEnd"/>
      <w:r w:rsidRPr="00D91731">
        <w:rPr>
          <w:rFonts w:asciiTheme="majorHAnsi" w:hAnsiTheme="majorHAnsi"/>
          <w:sz w:val="20"/>
          <w:szCs w:val="20"/>
          <w:lang w:val="en-CA"/>
        </w:rPr>
        <w:t xml:space="preserve"> Robin </w:t>
      </w:r>
      <w:proofErr w:type="spellStart"/>
      <w:r w:rsidRPr="00D91731">
        <w:rPr>
          <w:rFonts w:asciiTheme="majorHAnsi" w:hAnsiTheme="majorHAnsi"/>
          <w:sz w:val="20"/>
          <w:szCs w:val="20"/>
          <w:lang w:val="en-CA"/>
        </w:rPr>
        <w:t>Boadway</w:t>
      </w:r>
      <w:proofErr w:type="spellEnd"/>
      <w:r w:rsidRPr="00D91731">
        <w:rPr>
          <w:rFonts w:asciiTheme="majorHAnsi" w:hAnsiTheme="majorHAnsi"/>
          <w:sz w:val="20"/>
          <w:szCs w:val="20"/>
          <w:lang w:val="en-CA"/>
        </w:rPr>
        <w:t xml:space="preserve">, « Canada » in </w:t>
      </w:r>
      <w:proofErr w:type="spellStart"/>
      <w:r w:rsidRPr="00D91731">
        <w:rPr>
          <w:rFonts w:asciiTheme="majorHAnsi" w:hAnsiTheme="majorHAnsi"/>
          <w:sz w:val="20"/>
          <w:szCs w:val="20"/>
          <w:lang w:val="en-CA"/>
        </w:rPr>
        <w:t>Anwar</w:t>
      </w:r>
      <w:proofErr w:type="spellEnd"/>
      <w:r w:rsidRPr="00D91731">
        <w:rPr>
          <w:rFonts w:asciiTheme="majorHAnsi" w:hAnsiTheme="majorHAnsi"/>
          <w:sz w:val="20"/>
          <w:szCs w:val="20"/>
          <w:lang w:val="en-CA"/>
        </w:rPr>
        <w:t xml:space="preserve"> Shah, dir, </w:t>
      </w:r>
      <w:r w:rsidRPr="00D91731">
        <w:rPr>
          <w:rFonts w:asciiTheme="majorHAnsi" w:hAnsiTheme="majorHAnsi"/>
          <w:i/>
          <w:sz w:val="20"/>
          <w:szCs w:val="20"/>
          <w:lang w:val="en-CA"/>
        </w:rPr>
        <w:t>The Practice of Fiscal Federalism : Comparative Perspectives, A Global Dialogue on Federalism Series</w:t>
      </w:r>
      <w:r w:rsidRPr="00D91731">
        <w:rPr>
          <w:rFonts w:asciiTheme="majorHAnsi" w:hAnsiTheme="majorHAnsi"/>
          <w:sz w:val="20"/>
          <w:szCs w:val="20"/>
          <w:lang w:val="en-CA"/>
        </w:rPr>
        <w:t xml:space="preserve">, vol. 4. </w:t>
      </w:r>
      <w:r w:rsidRPr="00D91731">
        <w:rPr>
          <w:rFonts w:asciiTheme="majorHAnsi" w:hAnsiTheme="majorHAnsi"/>
          <w:sz w:val="20"/>
          <w:szCs w:val="20"/>
          <w:lang w:val="fr-CH"/>
        </w:rPr>
        <w:t xml:space="preserve">Montréal, </w:t>
      </w:r>
      <w:proofErr w:type="spellStart"/>
      <w:r w:rsidRPr="00D91731">
        <w:rPr>
          <w:rFonts w:asciiTheme="majorHAnsi" w:hAnsiTheme="majorHAnsi"/>
          <w:sz w:val="20"/>
          <w:szCs w:val="20"/>
          <w:lang w:val="fr-CH"/>
        </w:rPr>
        <w:t>McGill-Queen’s</w:t>
      </w:r>
      <w:proofErr w:type="spellEnd"/>
      <w:r w:rsidRPr="00D91731">
        <w:rPr>
          <w:rFonts w:asciiTheme="majorHAnsi" w:hAnsiTheme="majorHAnsi"/>
          <w:sz w:val="20"/>
          <w:szCs w:val="20"/>
          <w:lang w:val="fr-CH"/>
        </w:rPr>
        <w:t xml:space="preserve"> </w:t>
      </w:r>
      <w:proofErr w:type="spellStart"/>
      <w:r w:rsidRPr="00D91731">
        <w:rPr>
          <w:rFonts w:asciiTheme="majorHAnsi" w:hAnsiTheme="majorHAnsi"/>
          <w:sz w:val="20"/>
          <w:szCs w:val="20"/>
          <w:lang w:val="fr-CH"/>
        </w:rPr>
        <w:t>University</w:t>
      </w:r>
      <w:proofErr w:type="spellEnd"/>
      <w:r w:rsidRPr="00D91731">
        <w:rPr>
          <w:rFonts w:asciiTheme="majorHAnsi" w:hAnsiTheme="majorHAnsi"/>
          <w:sz w:val="20"/>
          <w:szCs w:val="20"/>
          <w:lang w:val="fr-CH"/>
        </w:rPr>
        <w:t xml:space="preserve"> </w:t>
      </w:r>
      <w:proofErr w:type="spellStart"/>
      <w:r w:rsidRPr="00D91731">
        <w:rPr>
          <w:rFonts w:asciiTheme="majorHAnsi" w:hAnsiTheme="majorHAnsi"/>
          <w:sz w:val="20"/>
          <w:szCs w:val="20"/>
          <w:lang w:val="fr-CH"/>
        </w:rPr>
        <w:t>Press</w:t>
      </w:r>
      <w:proofErr w:type="spellEnd"/>
      <w:r w:rsidRPr="00D91731">
        <w:rPr>
          <w:rFonts w:asciiTheme="majorHAnsi" w:hAnsiTheme="majorHAnsi"/>
          <w:sz w:val="20"/>
          <w:szCs w:val="20"/>
          <w:lang w:val="fr-CH"/>
        </w:rPr>
        <w:t>, 2007, p.105.</w:t>
      </w:r>
    </w:p>
    <w:p w:rsidR="001828DE" w:rsidRDefault="001828DE">
      <w:pPr>
        <w:spacing w:line="360" w:lineRule="auto"/>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Il importe de tenir compte de ces données en fonction de l’évolution de la démographie canadienne (voir Tableau 3).</w:t>
      </w:r>
    </w:p>
    <w:p w:rsidR="001828DE" w:rsidRDefault="001828DE">
      <w:pPr>
        <w:spacing w:line="360" w:lineRule="auto"/>
        <w:jc w:val="both"/>
        <w:rPr>
          <w:rFonts w:asciiTheme="majorHAnsi" w:hAnsiTheme="majorHAnsi"/>
          <w:sz w:val="20"/>
          <w:szCs w:val="20"/>
          <w:lang w:val="fr-CH"/>
        </w:rPr>
      </w:pPr>
    </w:p>
    <w:p w:rsidR="001828DE" w:rsidRPr="009D5457" w:rsidRDefault="00FD0F98">
      <w:pPr>
        <w:spacing w:line="360" w:lineRule="auto"/>
        <w:jc w:val="both"/>
        <w:rPr>
          <w:rFonts w:asciiTheme="majorHAnsi" w:eastAsia="Times New Roman" w:hAnsiTheme="majorHAnsi" w:cs="Times New Roman"/>
          <w:color w:val="FF0000"/>
          <w:sz w:val="20"/>
          <w:szCs w:val="20"/>
          <w:lang w:val="fr-CH" w:eastAsia="en-US"/>
        </w:rPr>
      </w:pPr>
      <w:r w:rsidRPr="009D5457">
        <w:rPr>
          <w:rFonts w:asciiTheme="majorHAnsi" w:hAnsiTheme="majorHAnsi"/>
          <w:color w:val="FF0000"/>
          <w:sz w:val="20"/>
          <w:szCs w:val="20"/>
          <w:lang w:val="fr-CH"/>
        </w:rPr>
        <w:t>Par comparaison, l’Initiative marocaine sur l’autonomie de la région du Sahara propose de déterminer la répartition des compétences et des ressources entre l’</w:t>
      </w:r>
      <w:r w:rsidR="00062320" w:rsidRPr="009D5457">
        <w:rPr>
          <w:rFonts w:asciiTheme="majorHAnsi" w:hAnsiTheme="majorHAnsi"/>
          <w:color w:val="FF0000"/>
          <w:sz w:val="20"/>
          <w:szCs w:val="20"/>
          <w:lang w:val="fr-CH"/>
        </w:rPr>
        <w:t>É</w:t>
      </w:r>
      <w:r w:rsidRPr="009D5457">
        <w:rPr>
          <w:rFonts w:asciiTheme="majorHAnsi" w:hAnsiTheme="majorHAnsi"/>
          <w:color w:val="FF0000"/>
          <w:sz w:val="20"/>
          <w:szCs w:val="20"/>
          <w:lang w:val="fr-CH"/>
        </w:rPr>
        <w:t xml:space="preserve">tat central et la région autonome de la façon </w:t>
      </w:r>
      <w:proofErr w:type="spellStart"/>
      <w:r w:rsidRPr="009D5457">
        <w:rPr>
          <w:rFonts w:asciiTheme="majorHAnsi" w:hAnsiTheme="majorHAnsi"/>
          <w:color w:val="FF0000"/>
          <w:sz w:val="20"/>
          <w:szCs w:val="20"/>
          <w:lang w:val="fr-CH"/>
        </w:rPr>
        <w:t>suivante</w:t>
      </w:r>
      <w:r w:rsidR="00321B41" w:rsidRPr="009D5457">
        <w:rPr>
          <w:rFonts w:asciiTheme="majorHAnsi" w:hAnsiTheme="majorHAnsi"/>
          <w:color w:val="FF0000"/>
          <w:sz w:val="20"/>
          <w:szCs w:val="20"/>
          <w:lang w:val="fr-CH"/>
        </w:rPr>
        <w:t>.</w:t>
      </w: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es</w:t>
      </w:r>
      <w:proofErr w:type="spellEnd"/>
      <w:r w:rsidR="00D91731" w:rsidRPr="009D5457">
        <w:rPr>
          <w:rFonts w:asciiTheme="majorHAnsi" w:eastAsia="Times New Roman" w:hAnsiTheme="majorHAnsi" w:cs="Times New Roman"/>
          <w:color w:val="FF0000"/>
          <w:sz w:val="20"/>
          <w:szCs w:val="20"/>
          <w:lang w:val="fr-CH" w:eastAsia="en-US"/>
        </w:rPr>
        <w:t xml:space="preserve"> populations de la Région autonome du Sahara, agissant par l'intermédiaire d'organes législatif, exécutif et judiciaire auront, dans les limites territoriales de la Région, la compétence notamment dans les domaines:</w:t>
      </w:r>
    </w:p>
    <w:p w:rsidR="001828DE" w:rsidRPr="009D5457" w:rsidRDefault="00FD0F98">
      <w:pPr>
        <w:numPr>
          <w:ilvl w:val="0"/>
          <w:numId w:val="8"/>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d</w:t>
      </w:r>
      <w:r w:rsidR="00D91731" w:rsidRPr="009D5457">
        <w:rPr>
          <w:rFonts w:asciiTheme="majorHAnsi" w:eastAsia="Times New Roman" w:hAnsiTheme="majorHAnsi" w:cs="Times New Roman"/>
          <w:color w:val="FF0000"/>
          <w:sz w:val="20"/>
          <w:szCs w:val="20"/>
          <w:lang w:val="fr-CH" w:eastAsia="en-US"/>
        </w:rPr>
        <w:t>e l'administration locale, de la police locale et des juridictions de la Région</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 xml:space="preserve">; </w:t>
      </w:r>
    </w:p>
    <w:p w:rsidR="001828DE" w:rsidRPr="009D5457" w:rsidRDefault="00FD0F98">
      <w:pPr>
        <w:numPr>
          <w:ilvl w:val="0"/>
          <w:numId w:val="8"/>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é</w:t>
      </w:r>
      <w:r w:rsidR="00D91731" w:rsidRPr="009D5457">
        <w:rPr>
          <w:rFonts w:asciiTheme="majorHAnsi" w:eastAsia="Times New Roman" w:hAnsiTheme="majorHAnsi" w:cs="Times New Roman"/>
          <w:color w:val="FF0000"/>
          <w:sz w:val="20"/>
          <w:szCs w:val="20"/>
          <w:lang w:val="fr-CH" w:eastAsia="en-US"/>
        </w:rPr>
        <w:t>conomique</w:t>
      </w:r>
      <w:r w:rsidR="001A7B69"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 le développement économique, la planification régionale, l'encouragement des investissements, le commerce, l'industrie, le tourisme, et l'agriculture</w:t>
      </w:r>
      <w:r w:rsidR="00EF0078"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 xml:space="preserve">; </w:t>
      </w:r>
    </w:p>
    <w:p w:rsidR="001828DE" w:rsidRPr="009D5457" w:rsidRDefault="00EF0078">
      <w:pPr>
        <w:numPr>
          <w:ilvl w:val="0"/>
          <w:numId w:val="8"/>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d</w:t>
      </w:r>
      <w:r w:rsidR="00D91731" w:rsidRPr="009D5457">
        <w:rPr>
          <w:rFonts w:asciiTheme="majorHAnsi" w:eastAsia="Times New Roman" w:hAnsiTheme="majorHAnsi" w:cs="Times New Roman"/>
          <w:color w:val="FF0000"/>
          <w:sz w:val="20"/>
          <w:szCs w:val="20"/>
          <w:lang w:val="fr-CH" w:eastAsia="en-US"/>
        </w:rPr>
        <w:t>u budget et de la fiscalité de la Région</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8"/>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d</w:t>
      </w:r>
      <w:r w:rsidR="00D91731" w:rsidRPr="009D5457">
        <w:rPr>
          <w:rFonts w:asciiTheme="majorHAnsi" w:eastAsia="Times New Roman" w:hAnsiTheme="majorHAnsi" w:cs="Times New Roman"/>
          <w:color w:val="FF0000"/>
          <w:sz w:val="20"/>
          <w:szCs w:val="20"/>
          <w:lang w:val="fr-CH" w:eastAsia="en-US"/>
        </w:rPr>
        <w:t>es infrastructures: l'eau, les installations hydrauliques, l'électricité, les travaux publics et le transport</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8"/>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s</w:t>
      </w:r>
      <w:r w:rsidR="00D91731" w:rsidRPr="009D5457">
        <w:rPr>
          <w:rFonts w:asciiTheme="majorHAnsi" w:eastAsia="Times New Roman" w:hAnsiTheme="majorHAnsi" w:cs="Times New Roman"/>
          <w:color w:val="FF0000"/>
          <w:sz w:val="20"/>
          <w:szCs w:val="20"/>
          <w:lang w:val="fr-CH" w:eastAsia="en-US"/>
        </w:rPr>
        <w:t>ocial</w:t>
      </w:r>
      <w:r w:rsidR="001A7B69"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 l'habitat, l'éducation, la santé, l'emploi, le sport,</w:t>
      </w:r>
      <w:r w:rsidR="001A7B69" w:rsidRPr="009D5457">
        <w:rPr>
          <w:rFonts w:asciiTheme="majorHAnsi" w:eastAsia="Times New Roman" w:hAnsiTheme="majorHAnsi" w:cs="Times New Roman"/>
          <w:color w:val="FF0000"/>
          <w:sz w:val="20"/>
          <w:szCs w:val="20"/>
          <w:lang w:val="fr-CH" w:eastAsia="en-US"/>
        </w:rPr>
        <w:t xml:space="preserve"> </w:t>
      </w:r>
      <w:r w:rsidR="00D91731" w:rsidRPr="009D5457">
        <w:rPr>
          <w:rFonts w:asciiTheme="majorHAnsi" w:eastAsia="Times New Roman" w:hAnsiTheme="majorHAnsi" w:cs="Times New Roman"/>
          <w:color w:val="FF0000"/>
          <w:sz w:val="20"/>
          <w:szCs w:val="20"/>
          <w:lang w:val="fr-CH" w:eastAsia="en-US"/>
        </w:rPr>
        <w:t>la sécurité et la protection sociales</w:t>
      </w:r>
      <w:r w:rsidR="001A7B69"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8"/>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c</w:t>
      </w:r>
      <w:r w:rsidR="00D91731" w:rsidRPr="009D5457">
        <w:rPr>
          <w:rFonts w:asciiTheme="majorHAnsi" w:eastAsia="Times New Roman" w:hAnsiTheme="majorHAnsi" w:cs="Times New Roman"/>
          <w:color w:val="FF0000"/>
          <w:sz w:val="20"/>
          <w:szCs w:val="20"/>
          <w:lang w:val="fr-CH" w:eastAsia="en-US"/>
        </w:rPr>
        <w:t>ulturel, y compris la promotion du patrimoine culturel sahraoui hassani ;</w:t>
      </w:r>
    </w:p>
    <w:p w:rsidR="001828DE" w:rsidRPr="009D5457" w:rsidRDefault="00EF0078">
      <w:pPr>
        <w:numPr>
          <w:ilvl w:val="0"/>
          <w:numId w:val="8"/>
        </w:numPr>
        <w:spacing w:before="100" w:beforeAutospacing="1" w:after="100" w:afterAutospacing="1" w:line="360" w:lineRule="auto"/>
        <w:jc w:val="both"/>
        <w:rPr>
          <w:rFonts w:asciiTheme="majorHAnsi" w:eastAsia="Times New Roman" w:hAnsiTheme="majorHAnsi" w:cs="Times New Roman"/>
          <w:color w:val="FF0000"/>
          <w:sz w:val="20"/>
          <w:szCs w:val="20"/>
          <w:lang w:val="en-US" w:eastAsia="en-US"/>
        </w:rPr>
      </w:pPr>
      <w:proofErr w:type="gramStart"/>
      <w:r w:rsidRPr="009D5457">
        <w:rPr>
          <w:rFonts w:asciiTheme="majorHAnsi" w:eastAsia="Times New Roman" w:hAnsiTheme="majorHAnsi" w:cs="Times New Roman"/>
          <w:color w:val="FF0000"/>
          <w:sz w:val="20"/>
          <w:szCs w:val="20"/>
          <w:lang w:val="en-US" w:eastAsia="en-US"/>
        </w:rPr>
        <w:t>d</w:t>
      </w:r>
      <w:r w:rsidR="00D91731" w:rsidRPr="009D5457">
        <w:rPr>
          <w:rFonts w:asciiTheme="majorHAnsi" w:eastAsia="Times New Roman" w:hAnsiTheme="majorHAnsi" w:cs="Times New Roman"/>
          <w:color w:val="FF0000"/>
          <w:sz w:val="20"/>
          <w:szCs w:val="20"/>
          <w:lang w:val="en-US" w:eastAsia="en-US"/>
        </w:rPr>
        <w:t>e</w:t>
      </w:r>
      <w:proofErr w:type="gramEnd"/>
      <w:r w:rsidR="00D91731" w:rsidRPr="009D5457">
        <w:rPr>
          <w:rFonts w:asciiTheme="majorHAnsi" w:eastAsia="Times New Roman" w:hAnsiTheme="majorHAnsi" w:cs="Times New Roman"/>
          <w:color w:val="FF0000"/>
          <w:sz w:val="20"/>
          <w:szCs w:val="20"/>
          <w:lang w:val="en-US" w:eastAsia="en-US"/>
        </w:rPr>
        <w:t xml:space="preserve"> </w:t>
      </w:r>
      <w:proofErr w:type="spellStart"/>
      <w:r w:rsidR="00D91731" w:rsidRPr="009D5457">
        <w:rPr>
          <w:rFonts w:asciiTheme="majorHAnsi" w:eastAsia="Times New Roman" w:hAnsiTheme="majorHAnsi" w:cs="Times New Roman"/>
          <w:color w:val="FF0000"/>
          <w:sz w:val="20"/>
          <w:szCs w:val="20"/>
          <w:lang w:val="en-US" w:eastAsia="en-US"/>
        </w:rPr>
        <w:t>l'environnement</w:t>
      </w:r>
      <w:proofErr w:type="spellEnd"/>
      <w:r w:rsidR="00D91731" w:rsidRPr="009D5457">
        <w:rPr>
          <w:rFonts w:asciiTheme="majorHAnsi" w:eastAsia="Times New Roman" w:hAnsiTheme="majorHAnsi" w:cs="Times New Roman"/>
          <w:color w:val="FF0000"/>
          <w:sz w:val="20"/>
          <w:szCs w:val="20"/>
          <w:lang w:val="en-US" w:eastAsia="en-US"/>
        </w:rPr>
        <w:t>.</w:t>
      </w:r>
    </w:p>
    <w:p w:rsidR="001828DE" w:rsidRPr="009D5457" w:rsidRDefault="00EF0078">
      <w:pPr>
        <w:spacing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En outre, l</w:t>
      </w:r>
      <w:r w:rsidR="00D91731" w:rsidRPr="009D5457">
        <w:rPr>
          <w:rFonts w:asciiTheme="majorHAnsi" w:eastAsia="Times New Roman" w:hAnsiTheme="majorHAnsi" w:cs="Times New Roman"/>
          <w:color w:val="FF0000"/>
          <w:sz w:val="20"/>
          <w:szCs w:val="20"/>
          <w:lang w:val="fr-CH" w:eastAsia="en-US"/>
        </w:rPr>
        <w:t>a Région autonome du Sahara disposera</w:t>
      </w:r>
      <w:r w:rsidR="00062320" w:rsidRPr="009D5457">
        <w:rPr>
          <w:rFonts w:asciiTheme="majorHAnsi" w:eastAsia="Times New Roman" w:hAnsiTheme="majorHAnsi" w:cs="Times New Roman"/>
          <w:color w:val="FF0000"/>
          <w:sz w:val="20"/>
          <w:szCs w:val="20"/>
          <w:lang w:val="fr-CH" w:eastAsia="en-US"/>
        </w:rPr>
        <w:t xml:space="preserve"> selon la proposition</w:t>
      </w:r>
      <w:r w:rsidR="00D91731" w:rsidRPr="009D5457">
        <w:rPr>
          <w:rFonts w:asciiTheme="majorHAnsi" w:eastAsia="Times New Roman" w:hAnsiTheme="majorHAnsi" w:cs="Times New Roman"/>
          <w:color w:val="FF0000"/>
          <w:sz w:val="20"/>
          <w:szCs w:val="20"/>
          <w:lang w:val="fr-CH" w:eastAsia="en-US"/>
        </w:rPr>
        <w:t xml:space="preserve"> des ressources financières nécessaires à son développement dans tous les domaines. Ces ressources seront notamment constituées par:</w:t>
      </w:r>
    </w:p>
    <w:p w:rsidR="001828DE" w:rsidRPr="009D5457" w:rsidRDefault="00EF0078">
      <w:pPr>
        <w:numPr>
          <w:ilvl w:val="0"/>
          <w:numId w:val="9"/>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es impôts, taxes et contributions territoriales édictés par les organes compétents de la Région</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9"/>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es revenus de l'exploitation des ressources naturelles affectés à la Région</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9"/>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a partie des revenus des ressources naturelles situées dans la Région et perçus par l'</w:t>
      </w:r>
      <w:r w:rsidR="00062320" w:rsidRPr="009D5457">
        <w:rPr>
          <w:rFonts w:asciiTheme="majorHAnsi" w:eastAsia="Times New Roman" w:hAnsiTheme="majorHAnsi" w:cs="Times New Roman"/>
          <w:color w:val="FF0000"/>
          <w:sz w:val="20"/>
          <w:szCs w:val="20"/>
          <w:lang w:val="fr-CH" w:eastAsia="en-US"/>
        </w:rPr>
        <w:t>É</w:t>
      </w:r>
      <w:r w:rsidR="00D91731" w:rsidRPr="009D5457">
        <w:rPr>
          <w:rFonts w:asciiTheme="majorHAnsi" w:eastAsia="Times New Roman" w:hAnsiTheme="majorHAnsi" w:cs="Times New Roman"/>
          <w:color w:val="FF0000"/>
          <w:sz w:val="20"/>
          <w:szCs w:val="20"/>
          <w:lang w:val="fr-CH" w:eastAsia="en-US"/>
        </w:rPr>
        <w:t>tat</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9"/>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es ressources nécessaires allouées dans le cadre de la solidarité nationale</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9"/>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es revenus provenant du patrimoine de la Région.</w:t>
      </w:r>
    </w:p>
    <w:p w:rsidR="001828DE" w:rsidRPr="009D5457" w:rsidRDefault="00EF0078">
      <w:pPr>
        <w:spacing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Pour sa part, l’</w:t>
      </w:r>
      <w:r w:rsidR="001828DE" w:rsidRPr="009D5457">
        <w:rPr>
          <w:rFonts w:asciiTheme="majorHAnsi" w:eastAsia="Times New Roman" w:hAnsiTheme="majorHAnsi" w:cs="Times New Roman"/>
          <w:color w:val="FF0000"/>
          <w:sz w:val="20"/>
          <w:szCs w:val="20"/>
          <w:lang w:val="fr-CH" w:eastAsia="en-US"/>
        </w:rPr>
        <w:t>É</w:t>
      </w:r>
      <w:r w:rsidR="00D91731" w:rsidRPr="009D5457">
        <w:rPr>
          <w:rFonts w:asciiTheme="majorHAnsi" w:eastAsia="Times New Roman" w:hAnsiTheme="majorHAnsi" w:cs="Times New Roman"/>
          <w:color w:val="FF0000"/>
          <w:sz w:val="20"/>
          <w:szCs w:val="20"/>
          <w:lang w:val="fr-CH" w:eastAsia="en-US"/>
        </w:rPr>
        <w:t xml:space="preserve">tat </w:t>
      </w:r>
      <w:r w:rsidRPr="009D5457">
        <w:rPr>
          <w:rFonts w:asciiTheme="majorHAnsi" w:eastAsia="Times New Roman" w:hAnsiTheme="majorHAnsi" w:cs="Times New Roman"/>
          <w:color w:val="FF0000"/>
          <w:sz w:val="20"/>
          <w:szCs w:val="20"/>
          <w:lang w:val="fr-CH" w:eastAsia="en-US"/>
        </w:rPr>
        <w:t xml:space="preserve">marocain </w:t>
      </w:r>
      <w:r w:rsidR="00D91731" w:rsidRPr="009D5457">
        <w:rPr>
          <w:rFonts w:asciiTheme="majorHAnsi" w:eastAsia="Times New Roman" w:hAnsiTheme="majorHAnsi" w:cs="Times New Roman"/>
          <w:color w:val="FF0000"/>
          <w:sz w:val="20"/>
          <w:szCs w:val="20"/>
          <w:lang w:val="fr-CH" w:eastAsia="en-US"/>
        </w:rPr>
        <w:t>conservera la compétence exclusive, notamment sur</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10"/>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es attributs de souveraineté, notamment le drapeau, l'hymne national et la monnaie</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10"/>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 xml:space="preserve">es attributs liés aux compétences constitutionnelles et religieuses du Roi, Commandeur des croyants et </w:t>
      </w:r>
      <w:r w:rsidRPr="009D5457">
        <w:rPr>
          <w:rFonts w:asciiTheme="majorHAnsi" w:eastAsia="Times New Roman" w:hAnsiTheme="majorHAnsi" w:cs="Times New Roman"/>
          <w:color w:val="FF0000"/>
          <w:sz w:val="20"/>
          <w:szCs w:val="20"/>
          <w:lang w:val="fr-CH" w:eastAsia="en-US"/>
        </w:rPr>
        <w:t>g</w:t>
      </w:r>
      <w:r w:rsidR="00D91731" w:rsidRPr="009D5457">
        <w:rPr>
          <w:rFonts w:asciiTheme="majorHAnsi" w:eastAsia="Times New Roman" w:hAnsiTheme="majorHAnsi" w:cs="Times New Roman"/>
          <w:color w:val="FF0000"/>
          <w:sz w:val="20"/>
          <w:szCs w:val="20"/>
          <w:lang w:val="fr-CH" w:eastAsia="en-US"/>
        </w:rPr>
        <w:t>arant de la liberté du culte et des libertés individuelles et collectives</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10"/>
        </w:numPr>
        <w:spacing w:before="100" w:beforeAutospacing="1" w:after="100" w:afterAutospacing="1" w:line="360" w:lineRule="auto"/>
        <w:jc w:val="both"/>
        <w:rPr>
          <w:rFonts w:asciiTheme="majorHAnsi" w:eastAsia="Times New Roman" w:hAnsiTheme="majorHAnsi" w:cs="Times New Roman"/>
          <w:color w:val="FF0000"/>
          <w:sz w:val="20"/>
          <w:szCs w:val="20"/>
          <w:lang w:val="fr-CH" w:eastAsia="en-US"/>
        </w:rPr>
      </w:pPr>
      <w:r w:rsidRPr="009D5457">
        <w:rPr>
          <w:rFonts w:asciiTheme="majorHAnsi" w:eastAsia="Times New Roman" w:hAnsiTheme="majorHAnsi" w:cs="Times New Roman"/>
          <w:color w:val="FF0000"/>
          <w:sz w:val="20"/>
          <w:szCs w:val="20"/>
          <w:lang w:val="fr-CH" w:eastAsia="en-US"/>
        </w:rPr>
        <w:t>l</w:t>
      </w:r>
      <w:r w:rsidR="00D91731" w:rsidRPr="009D5457">
        <w:rPr>
          <w:rFonts w:asciiTheme="majorHAnsi" w:eastAsia="Times New Roman" w:hAnsiTheme="majorHAnsi" w:cs="Times New Roman"/>
          <w:color w:val="FF0000"/>
          <w:sz w:val="20"/>
          <w:szCs w:val="20"/>
          <w:lang w:val="fr-CH" w:eastAsia="en-US"/>
        </w:rPr>
        <w:t>a sécurité nationale, la défense extérieure et de l'intégrité territoriale</w:t>
      </w:r>
      <w:r w:rsidRPr="009D5457">
        <w:rPr>
          <w:rFonts w:asciiTheme="majorHAnsi" w:eastAsia="Times New Roman" w:hAnsiTheme="majorHAnsi" w:cs="Times New Roman"/>
          <w:color w:val="FF0000"/>
          <w:sz w:val="20"/>
          <w:szCs w:val="20"/>
          <w:lang w:val="fr-CH" w:eastAsia="en-US"/>
        </w:rPr>
        <w:t> </w:t>
      </w:r>
      <w:r w:rsidR="00D91731" w:rsidRPr="009D5457">
        <w:rPr>
          <w:rFonts w:asciiTheme="majorHAnsi" w:eastAsia="Times New Roman" w:hAnsiTheme="majorHAnsi" w:cs="Times New Roman"/>
          <w:color w:val="FF0000"/>
          <w:sz w:val="20"/>
          <w:szCs w:val="20"/>
          <w:lang w:val="fr-CH" w:eastAsia="en-US"/>
        </w:rPr>
        <w:t>;</w:t>
      </w:r>
    </w:p>
    <w:p w:rsidR="001828DE" w:rsidRPr="009D5457" w:rsidRDefault="00EF0078">
      <w:pPr>
        <w:numPr>
          <w:ilvl w:val="0"/>
          <w:numId w:val="10"/>
        </w:numPr>
        <w:spacing w:before="100" w:beforeAutospacing="1" w:after="100" w:afterAutospacing="1" w:line="360" w:lineRule="auto"/>
        <w:jc w:val="both"/>
        <w:rPr>
          <w:rFonts w:asciiTheme="majorHAnsi" w:eastAsia="Times New Roman" w:hAnsiTheme="majorHAnsi" w:cs="Times New Roman"/>
          <w:color w:val="FF0000"/>
          <w:sz w:val="20"/>
          <w:szCs w:val="20"/>
          <w:lang w:val="en-US" w:eastAsia="en-US"/>
        </w:rPr>
      </w:pPr>
      <w:r w:rsidRPr="009D5457">
        <w:rPr>
          <w:rFonts w:asciiTheme="majorHAnsi" w:eastAsia="Times New Roman" w:hAnsiTheme="majorHAnsi" w:cs="Times New Roman"/>
          <w:color w:val="FF0000"/>
          <w:sz w:val="20"/>
          <w:szCs w:val="20"/>
          <w:lang w:val="en-US" w:eastAsia="en-US"/>
        </w:rPr>
        <w:t>l</w:t>
      </w:r>
      <w:r w:rsidR="00D91731" w:rsidRPr="009D5457">
        <w:rPr>
          <w:rFonts w:asciiTheme="majorHAnsi" w:eastAsia="Times New Roman" w:hAnsiTheme="majorHAnsi" w:cs="Times New Roman"/>
          <w:color w:val="FF0000"/>
          <w:sz w:val="20"/>
          <w:szCs w:val="20"/>
          <w:lang w:val="en-US" w:eastAsia="en-US"/>
        </w:rPr>
        <w:t xml:space="preserve">es relations </w:t>
      </w:r>
      <w:proofErr w:type="spellStart"/>
      <w:r w:rsidR="00D91731" w:rsidRPr="009D5457">
        <w:rPr>
          <w:rFonts w:asciiTheme="majorHAnsi" w:eastAsia="Times New Roman" w:hAnsiTheme="majorHAnsi" w:cs="Times New Roman"/>
          <w:color w:val="FF0000"/>
          <w:sz w:val="20"/>
          <w:szCs w:val="20"/>
          <w:lang w:val="en-US" w:eastAsia="en-US"/>
        </w:rPr>
        <w:t>extérieures</w:t>
      </w:r>
      <w:proofErr w:type="spellEnd"/>
      <w:r w:rsidRPr="009D5457">
        <w:rPr>
          <w:rFonts w:asciiTheme="majorHAnsi" w:eastAsia="Times New Roman" w:hAnsiTheme="majorHAnsi" w:cs="Times New Roman"/>
          <w:color w:val="FF0000"/>
          <w:sz w:val="20"/>
          <w:szCs w:val="20"/>
          <w:lang w:val="en-US" w:eastAsia="en-US"/>
        </w:rPr>
        <w:t> </w:t>
      </w:r>
      <w:r w:rsidR="00D91731" w:rsidRPr="009D5457">
        <w:rPr>
          <w:rFonts w:asciiTheme="majorHAnsi" w:eastAsia="Times New Roman" w:hAnsiTheme="majorHAnsi" w:cs="Times New Roman"/>
          <w:color w:val="FF0000"/>
          <w:sz w:val="20"/>
          <w:szCs w:val="20"/>
          <w:lang w:val="en-US" w:eastAsia="en-US"/>
        </w:rPr>
        <w:t>;</w:t>
      </w:r>
    </w:p>
    <w:p w:rsidR="001828DE" w:rsidRPr="009D5457" w:rsidRDefault="00EF0078">
      <w:pPr>
        <w:numPr>
          <w:ilvl w:val="0"/>
          <w:numId w:val="10"/>
        </w:numPr>
        <w:spacing w:before="100" w:beforeAutospacing="1" w:after="100" w:afterAutospacing="1" w:line="360" w:lineRule="auto"/>
        <w:jc w:val="both"/>
        <w:rPr>
          <w:rFonts w:asciiTheme="majorHAnsi" w:eastAsia="Times New Roman" w:hAnsiTheme="majorHAnsi" w:cs="Times New Roman"/>
          <w:color w:val="FF0000"/>
          <w:sz w:val="20"/>
          <w:szCs w:val="20"/>
          <w:lang w:val="en-US" w:eastAsia="en-US"/>
        </w:rPr>
      </w:pPr>
      <w:proofErr w:type="spellStart"/>
      <w:proofErr w:type="gramStart"/>
      <w:r w:rsidRPr="009D5457">
        <w:rPr>
          <w:rFonts w:asciiTheme="majorHAnsi" w:eastAsia="Times New Roman" w:hAnsiTheme="majorHAnsi" w:cs="Times New Roman"/>
          <w:color w:val="FF0000"/>
          <w:sz w:val="20"/>
          <w:szCs w:val="20"/>
          <w:lang w:val="en-US" w:eastAsia="en-US"/>
        </w:rPr>
        <w:t>l</w:t>
      </w:r>
      <w:r w:rsidR="00D91731" w:rsidRPr="009D5457">
        <w:rPr>
          <w:rFonts w:asciiTheme="majorHAnsi" w:eastAsia="Times New Roman" w:hAnsiTheme="majorHAnsi" w:cs="Times New Roman"/>
          <w:color w:val="FF0000"/>
          <w:sz w:val="20"/>
          <w:szCs w:val="20"/>
          <w:lang w:val="en-US" w:eastAsia="en-US"/>
        </w:rPr>
        <w:t>'ordre</w:t>
      </w:r>
      <w:proofErr w:type="spellEnd"/>
      <w:proofErr w:type="gramEnd"/>
      <w:r w:rsidR="00D91731" w:rsidRPr="009D5457">
        <w:rPr>
          <w:rFonts w:asciiTheme="majorHAnsi" w:eastAsia="Times New Roman" w:hAnsiTheme="majorHAnsi" w:cs="Times New Roman"/>
          <w:color w:val="FF0000"/>
          <w:sz w:val="20"/>
          <w:szCs w:val="20"/>
          <w:lang w:val="en-US" w:eastAsia="en-US"/>
        </w:rPr>
        <w:t xml:space="preserve"> </w:t>
      </w:r>
      <w:proofErr w:type="spellStart"/>
      <w:r w:rsidR="00D91731" w:rsidRPr="009D5457">
        <w:rPr>
          <w:rFonts w:asciiTheme="majorHAnsi" w:eastAsia="Times New Roman" w:hAnsiTheme="majorHAnsi" w:cs="Times New Roman"/>
          <w:color w:val="FF0000"/>
          <w:sz w:val="20"/>
          <w:szCs w:val="20"/>
          <w:lang w:val="en-US" w:eastAsia="en-US"/>
        </w:rPr>
        <w:t>juridictionnel</w:t>
      </w:r>
      <w:proofErr w:type="spellEnd"/>
      <w:r w:rsidR="00D91731" w:rsidRPr="009D5457">
        <w:rPr>
          <w:rFonts w:asciiTheme="majorHAnsi" w:eastAsia="Times New Roman" w:hAnsiTheme="majorHAnsi" w:cs="Times New Roman"/>
          <w:color w:val="FF0000"/>
          <w:sz w:val="20"/>
          <w:szCs w:val="20"/>
          <w:lang w:val="en-US" w:eastAsia="en-US"/>
        </w:rPr>
        <w:t xml:space="preserve"> du </w:t>
      </w:r>
      <w:proofErr w:type="spellStart"/>
      <w:r w:rsidR="00D91731" w:rsidRPr="009D5457">
        <w:rPr>
          <w:rFonts w:asciiTheme="majorHAnsi" w:eastAsia="Times New Roman" w:hAnsiTheme="majorHAnsi" w:cs="Times New Roman"/>
          <w:color w:val="FF0000"/>
          <w:sz w:val="20"/>
          <w:szCs w:val="20"/>
          <w:lang w:val="en-US" w:eastAsia="en-US"/>
        </w:rPr>
        <w:t>Royaume</w:t>
      </w:r>
      <w:proofErr w:type="spellEnd"/>
      <w:r w:rsidR="00D91731" w:rsidRPr="009D5457">
        <w:rPr>
          <w:rFonts w:asciiTheme="majorHAnsi" w:eastAsia="Times New Roman" w:hAnsiTheme="majorHAnsi" w:cs="Times New Roman"/>
          <w:color w:val="FF0000"/>
          <w:sz w:val="20"/>
          <w:szCs w:val="20"/>
          <w:lang w:val="en-US" w:eastAsia="en-US"/>
        </w:rPr>
        <w:t>.</w:t>
      </w:r>
    </w:p>
    <w:p w:rsidR="001828DE" w:rsidRPr="009D5457" w:rsidRDefault="00D91731">
      <w:pPr>
        <w:spacing w:line="360" w:lineRule="auto"/>
        <w:jc w:val="both"/>
        <w:rPr>
          <w:rFonts w:asciiTheme="majorHAnsi" w:hAnsiTheme="majorHAnsi"/>
          <w:color w:val="FF0000"/>
          <w:sz w:val="20"/>
          <w:szCs w:val="20"/>
          <w:lang w:val="fr-CH"/>
        </w:rPr>
      </w:pPr>
      <w:r w:rsidRPr="009D5457">
        <w:rPr>
          <w:rFonts w:asciiTheme="majorHAnsi" w:hAnsiTheme="majorHAnsi"/>
          <w:color w:val="FF0000"/>
          <w:sz w:val="20"/>
          <w:szCs w:val="20"/>
          <w:lang w:val="fr-CH"/>
        </w:rPr>
        <w:t>La responsabilité de l'</w:t>
      </w:r>
      <w:r w:rsidR="001828DE" w:rsidRPr="009D5457">
        <w:rPr>
          <w:rFonts w:asciiTheme="majorHAnsi" w:hAnsiTheme="majorHAnsi"/>
          <w:color w:val="FF0000"/>
          <w:sz w:val="20"/>
          <w:szCs w:val="20"/>
          <w:lang w:val="fr-CH"/>
        </w:rPr>
        <w:t>É</w:t>
      </w:r>
      <w:r w:rsidRPr="009D5457">
        <w:rPr>
          <w:rFonts w:asciiTheme="majorHAnsi" w:hAnsiTheme="majorHAnsi"/>
          <w:color w:val="FF0000"/>
          <w:sz w:val="20"/>
          <w:szCs w:val="20"/>
          <w:lang w:val="fr-CH"/>
        </w:rPr>
        <w:t xml:space="preserve">tat </w:t>
      </w:r>
      <w:r w:rsidR="00EF0078" w:rsidRPr="009D5457">
        <w:rPr>
          <w:rFonts w:asciiTheme="majorHAnsi" w:hAnsiTheme="majorHAnsi"/>
          <w:color w:val="FF0000"/>
          <w:sz w:val="20"/>
          <w:szCs w:val="20"/>
          <w:lang w:val="fr-CH"/>
        </w:rPr>
        <w:t xml:space="preserve">marocain </w:t>
      </w:r>
      <w:r w:rsidRPr="009D5457">
        <w:rPr>
          <w:rFonts w:asciiTheme="majorHAnsi" w:hAnsiTheme="majorHAnsi"/>
          <w:color w:val="FF0000"/>
          <w:sz w:val="20"/>
          <w:szCs w:val="20"/>
          <w:lang w:val="fr-CH"/>
        </w:rPr>
        <w:t xml:space="preserve">dans le domaine des relations extérieures sera exercée en consultation avec la Région autonome du Sahara concernant les questions qui se rapportent directement aux attributions de cette Région. La Région </w:t>
      </w:r>
      <w:r w:rsidR="00EF0078" w:rsidRPr="009D5457">
        <w:rPr>
          <w:rFonts w:asciiTheme="majorHAnsi" w:hAnsiTheme="majorHAnsi"/>
          <w:color w:val="FF0000"/>
          <w:sz w:val="20"/>
          <w:szCs w:val="20"/>
          <w:lang w:val="fr-CH"/>
        </w:rPr>
        <w:t>a</w:t>
      </w:r>
      <w:r w:rsidRPr="009D5457">
        <w:rPr>
          <w:rFonts w:asciiTheme="majorHAnsi" w:hAnsiTheme="majorHAnsi"/>
          <w:color w:val="FF0000"/>
          <w:sz w:val="20"/>
          <w:szCs w:val="20"/>
          <w:lang w:val="fr-CH"/>
        </w:rPr>
        <w:t>utonome du Sahara p</w:t>
      </w:r>
      <w:r w:rsidR="00EF0078" w:rsidRPr="009D5457">
        <w:rPr>
          <w:rFonts w:asciiTheme="majorHAnsi" w:hAnsiTheme="majorHAnsi"/>
          <w:color w:val="FF0000"/>
          <w:sz w:val="20"/>
          <w:szCs w:val="20"/>
          <w:lang w:val="fr-CH"/>
        </w:rPr>
        <w:t>ourra</w:t>
      </w:r>
      <w:r w:rsidRPr="009D5457">
        <w:rPr>
          <w:rFonts w:asciiTheme="majorHAnsi" w:hAnsiTheme="majorHAnsi"/>
          <w:color w:val="FF0000"/>
          <w:sz w:val="20"/>
          <w:szCs w:val="20"/>
          <w:lang w:val="fr-CH"/>
        </w:rPr>
        <w:t xml:space="preserve">, en concertation avec le </w:t>
      </w:r>
      <w:r w:rsidR="00EF0078" w:rsidRPr="009D5457">
        <w:rPr>
          <w:rFonts w:asciiTheme="majorHAnsi" w:hAnsiTheme="majorHAnsi"/>
          <w:color w:val="FF0000"/>
          <w:sz w:val="20"/>
          <w:szCs w:val="20"/>
          <w:lang w:val="fr-CH"/>
        </w:rPr>
        <w:t>g</w:t>
      </w:r>
      <w:r w:rsidRPr="009D5457">
        <w:rPr>
          <w:rFonts w:asciiTheme="majorHAnsi" w:hAnsiTheme="majorHAnsi"/>
          <w:color w:val="FF0000"/>
          <w:sz w:val="20"/>
          <w:szCs w:val="20"/>
          <w:lang w:val="fr-CH"/>
        </w:rPr>
        <w:t>ouvernement</w:t>
      </w:r>
      <w:r w:rsidR="00EF0078" w:rsidRPr="009D5457">
        <w:rPr>
          <w:rFonts w:asciiTheme="majorHAnsi" w:hAnsiTheme="majorHAnsi"/>
          <w:color w:val="FF0000"/>
          <w:sz w:val="20"/>
          <w:szCs w:val="20"/>
          <w:lang w:val="fr-CH"/>
        </w:rPr>
        <w:t xml:space="preserve"> central</w:t>
      </w:r>
      <w:r w:rsidRPr="009D5457">
        <w:rPr>
          <w:rFonts w:asciiTheme="majorHAnsi" w:hAnsiTheme="majorHAnsi"/>
          <w:color w:val="FF0000"/>
          <w:sz w:val="20"/>
          <w:szCs w:val="20"/>
          <w:lang w:val="fr-CH"/>
        </w:rPr>
        <w:t xml:space="preserve">, établir des liens de coopération avec des Régions étrangères en vue de développer le dialogue et la coopération </w:t>
      </w:r>
      <w:proofErr w:type="spellStart"/>
      <w:r w:rsidRPr="009D5457">
        <w:rPr>
          <w:rFonts w:asciiTheme="majorHAnsi" w:hAnsiTheme="majorHAnsi"/>
          <w:color w:val="FF0000"/>
          <w:sz w:val="20"/>
          <w:szCs w:val="20"/>
          <w:lang w:val="fr-CH"/>
        </w:rPr>
        <w:t>inter-régionale</w:t>
      </w:r>
      <w:proofErr w:type="spellEnd"/>
      <w:r w:rsidRPr="009D5457">
        <w:rPr>
          <w:rFonts w:asciiTheme="majorHAnsi" w:hAnsiTheme="majorHAnsi"/>
          <w:color w:val="FF0000"/>
          <w:sz w:val="20"/>
          <w:szCs w:val="20"/>
          <w:lang w:val="fr-CH"/>
        </w:rPr>
        <w:t>.</w:t>
      </w:r>
      <w:r w:rsidR="00EF0078" w:rsidRPr="009D5457">
        <w:rPr>
          <w:rFonts w:asciiTheme="majorHAnsi" w:hAnsiTheme="majorHAnsi"/>
          <w:color w:val="FF0000"/>
          <w:sz w:val="20"/>
          <w:szCs w:val="20"/>
          <w:lang w:val="fr-CH"/>
        </w:rPr>
        <w:t xml:space="preserve"> </w:t>
      </w:r>
      <w:r w:rsidRPr="009D5457">
        <w:rPr>
          <w:rFonts w:asciiTheme="majorHAnsi" w:hAnsiTheme="majorHAnsi"/>
          <w:color w:val="FF0000"/>
          <w:sz w:val="20"/>
          <w:szCs w:val="20"/>
          <w:lang w:val="fr-CH"/>
        </w:rPr>
        <w:t>Les compétences de l'</w:t>
      </w:r>
      <w:r w:rsidR="001828DE" w:rsidRPr="009D5457">
        <w:rPr>
          <w:rFonts w:asciiTheme="majorHAnsi" w:hAnsiTheme="majorHAnsi"/>
          <w:color w:val="FF0000"/>
          <w:sz w:val="20"/>
          <w:szCs w:val="20"/>
          <w:lang w:val="fr-CH"/>
        </w:rPr>
        <w:t>É</w:t>
      </w:r>
      <w:r w:rsidRPr="009D5457">
        <w:rPr>
          <w:rFonts w:asciiTheme="majorHAnsi" w:hAnsiTheme="majorHAnsi"/>
          <w:color w:val="FF0000"/>
          <w:sz w:val="20"/>
          <w:szCs w:val="20"/>
          <w:lang w:val="fr-CH"/>
        </w:rPr>
        <w:t xml:space="preserve">tat </w:t>
      </w:r>
      <w:r w:rsidR="00EF0078" w:rsidRPr="009D5457">
        <w:rPr>
          <w:rFonts w:asciiTheme="majorHAnsi" w:hAnsiTheme="majorHAnsi"/>
          <w:color w:val="FF0000"/>
          <w:sz w:val="20"/>
          <w:szCs w:val="20"/>
          <w:lang w:val="fr-CH"/>
        </w:rPr>
        <w:t xml:space="preserve">marocain </w:t>
      </w:r>
      <w:r w:rsidRPr="009D5457">
        <w:rPr>
          <w:rFonts w:asciiTheme="majorHAnsi" w:hAnsiTheme="majorHAnsi"/>
          <w:color w:val="FF0000"/>
          <w:sz w:val="20"/>
          <w:szCs w:val="20"/>
          <w:lang w:val="fr-CH"/>
        </w:rPr>
        <w:t>dans la Région autonome du Sahara</w:t>
      </w:r>
      <w:r w:rsidR="00EF0078" w:rsidRPr="009D5457">
        <w:rPr>
          <w:rFonts w:asciiTheme="majorHAnsi" w:hAnsiTheme="majorHAnsi"/>
          <w:color w:val="FF0000"/>
          <w:sz w:val="20"/>
          <w:szCs w:val="20"/>
          <w:lang w:val="fr-CH"/>
        </w:rPr>
        <w:t xml:space="preserve"> </w:t>
      </w:r>
      <w:r w:rsidRPr="009D5457">
        <w:rPr>
          <w:rFonts w:asciiTheme="majorHAnsi" w:hAnsiTheme="majorHAnsi"/>
          <w:color w:val="FF0000"/>
          <w:sz w:val="20"/>
          <w:szCs w:val="20"/>
          <w:lang w:val="fr-CH"/>
        </w:rPr>
        <w:t xml:space="preserve">seront exercées par un Délégué du </w:t>
      </w:r>
      <w:r w:rsidR="00EF0078" w:rsidRPr="009D5457">
        <w:rPr>
          <w:rFonts w:asciiTheme="majorHAnsi" w:hAnsiTheme="majorHAnsi"/>
          <w:color w:val="FF0000"/>
          <w:sz w:val="20"/>
          <w:szCs w:val="20"/>
          <w:lang w:val="fr-CH"/>
        </w:rPr>
        <w:t>g</w:t>
      </w:r>
      <w:r w:rsidRPr="009D5457">
        <w:rPr>
          <w:rFonts w:asciiTheme="majorHAnsi" w:hAnsiTheme="majorHAnsi"/>
          <w:color w:val="FF0000"/>
          <w:sz w:val="20"/>
          <w:szCs w:val="20"/>
          <w:lang w:val="fr-CH"/>
        </w:rPr>
        <w:t>ouvernement</w:t>
      </w:r>
      <w:r w:rsidR="00EF0078" w:rsidRPr="009D5457">
        <w:rPr>
          <w:rFonts w:asciiTheme="majorHAnsi" w:hAnsiTheme="majorHAnsi"/>
          <w:color w:val="FF0000"/>
          <w:sz w:val="20"/>
          <w:szCs w:val="20"/>
          <w:lang w:val="fr-CH"/>
        </w:rPr>
        <w:t xml:space="preserve"> central. </w:t>
      </w:r>
      <w:r w:rsidRPr="009D5457">
        <w:rPr>
          <w:rFonts w:asciiTheme="majorHAnsi" w:hAnsiTheme="majorHAnsi"/>
          <w:color w:val="FF0000"/>
          <w:sz w:val="20"/>
          <w:szCs w:val="20"/>
          <w:lang w:val="fr-CH"/>
        </w:rPr>
        <w:t>Par ailleurs, les compétences qui ne sont pas spécifiquement attribuées</w:t>
      </w:r>
      <w:r w:rsidR="00EF0078" w:rsidRPr="009D5457">
        <w:rPr>
          <w:rFonts w:asciiTheme="majorHAnsi" w:hAnsiTheme="majorHAnsi"/>
          <w:color w:val="FF0000"/>
          <w:sz w:val="20"/>
          <w:szCs w:val="20"/>
          <w:lang w:val="fr-CH"/>
        </w:rPr>
        <w:t xml:space="preserve"> à la Région autonome</w:t>
      </w:r>
      <w:r w:rsidRPr="009D5457">
        <w:rPr>
          <w:rFonts w:asciiTheme="majorHAnsi" w:hAnsiTheme="majorHAnsi"/>
          <w:color w:val="FF0000"/>
          <w:sz w:val="20"/>
          <w:szCs w:val="20"/>
          <w:lang w:val="fr-CH"/>
        </w:rPr>
        <w:t xml:space="preserve"> seront exercées, d'un commun accord, sur la base du principe de subsidiarité. Les populations de la Région autonome du Sahara s</w:t>
      </w:r>
      <w:r w:rsidR="001828DE" w:rsidRPr="009D5457">
        <w:rPr>
          <w:rFonts w:asciiTheme="majorHAnsi" w:hAnsiTheme="majorHAnsi"/>
          <w:color w:val="FF0000"/>
          <w:sz w:val="20"/>
          <w:szCs w:val="20"/>
          <w:lang w:val="fr-CH"/>
        </w:rPr>
        <w:t>er</w:t>
      </w:r>
      <w:r w:rsidRPr="009D5457">
        <w:rPr>
          <w:rFonts w:asciiTheme="majorHAnsi" w:hAnsiTheme="majorHAnsi"/>
          <w:color w:val="FF0000"/>
          <w:sz w:val="20"/>
          <w:szCs w:val="20"/>
          <w:lang w:val="fr-CH"/>
        </w:rPr>
        <w:t xml:space="preserve">ont représentées au sein du Parlement </w:t>
      </w:r>
      <w:r w:rsidR="00EF0078" w:rsidRPr="009D5457">
        <w:rPr>
          <w:rFonts w:asciiTheme="majorHAnsi" w:hAnsiTheme="majorHAnsi"/>
          <w:color w:val="FF0000"/>
          <w:sz w:val="20"/>
          <w:szCs w:val="20"/>
          <w:lang w:val="fr-CH"/>
        </w:rPr>
        <w:t xml:space="preserve">marocain </w:t>
      </w:r>
      <w:r w:rsidRPr="009D5457">
        <w:rPr>
          <w:rFonts w:asciiTheme="majorHAnsi" w:hAnsiTheme="majorHAnsi"/>
          <w:color w:val="FF0000"/>
          <w:sz w:val="20"/>
          <w:szCs w:val="20"/>
          <w:lang w:val="fr-CH"/>
        </w:rPr>
        <w:t>et des autres institutions nationales. Elles participe</w:t>
      </w:r>
      <w:r w:rsidR="00EF0078" w:rsidRPr="009D5457">
        <w:rPr>
          <w:rFonts w:asciiTheme="majorHAnsi" w:hAnsiTheme="majorHAnsi"/>
          <w:color w:val="FF0000"/>
          <w:sz w:val="20"/>
          <w:szCs w:val="20"/>
          <w:lang w:val="fr-CH"/>
        </w:rPr>
        <w:t>ron</w:t>
      </w:r>
      <w:r w:rsidRPr="009D5457">
        <w:rPr>
          <w:rFonts w:asciiTheme="majorHAnsi" w:hAnsiTheme="majorHAnsi"/>
          <w:color w:val="FF0000"/>
          <w:sz w:val="20"/>
          <w:szCs w:val="20"/>
          <w:lang w:val="fr-CH"/>
        </w:rPr>
        <w:t>t à toutes les consultations électorales nationales.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Dans la prochaine section, nous nous pencherons sur trois aspects expliquant la montée d’importantes tensions politiques au Canada : la concentration régionale des ressources naturelles ; l’usage du principe de péréquation afin de rééquilibrer la capacité financière des États membres et les services offerts à la population; et, enfin, l’inadéquation entre les responsabilités gouvernementales provinciales et les revenus disponibles (</w:t>
      </w:r>
      <w:proofErr w:type="spellStart"/>
      <w:r w:rsidRPr="00D91731">
        <w:rPr>
          <w:rFonts w:asciiTheme="majorHAnsi" w:hAnsiTheme="majorHAnsi"/>
          <w:sz w:val="20"/>
          <w:szCs w:val="20"/>
          <w:lang w:val="fr-CH"/>
        </w:rPr>
        <w:t>Bickerton</w:t>
      </w:r>
      <w:proofErr w:type="spellEnd"/>
      <w:r w:rsidRPr="00D91731">
        <w:rPr>
          <w:rFonts w:asciiTheme="majorHAnsi" w:hAnsiTheme="majorHAnsi"/>
          <w:sz w:val="20"/>
          <w:szCs w:val="20"/>
          <w:lang w:val="fr-CH"/>
        </w:rPr>
        <w:t xml:space="preserve"> et Gagnon, 2011).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i/>
          <w:sz w:val="20"/>
          <w:szCs w:val="20"/>
          <w:lang w:val="fr-CH"/>
        </w:rPr>
      </w:pPr>
      <w:r w:rsidRPr="00D91731">
        <w:rPr>
          <w:rFonts w:asciiTheme="majorHAnsi" w:hAnsiTheme="majorHAnsi"/>
          <w:i/>
          <w:sz w:val="20"/>
          <w:szCs w:val="20"/>
          <w:lang w:val="fr-CH"/>
        </w:rPr>
        <w:t>A. Concentration régionale des ressources naturelles et démographie</w:t>
      </w:r>
    </w:p>
    <w:p w:rsidR="001828DE" w:rsidRDefault="001828DE">
      <w:pPr>
        <w:spacing w:line="360" w:lineRule="auto"/>
        <w:jc w:val="both"/>
        <w:rPr>
          <w:rFonts w:asciiTheme="majorHAnsi" w:hAnsiTheme="majorHAnsi"/>
          <w: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 Canada demeure une économie qui dépend pour beaucoup de ses ressources naturelles pour assurer une bonne qualité de vie à l’ensemble de ses citoyens. Les ressources dites intra</w:t>
      </w:r>
      <w:r w:rsidR="00EF0078" w:rsidRPr="003061F8">
        <w:rPr>
          <w:rFonts w:asciiTheme="majorHAnsi" w:hAnsiTheme="majorHAnsi"/>
          <w:sz w:val="20"/>
          <w:szCs w:val="20"/>
          <w:lang w:val="fr-CH"/>
        </w:rPr>
        <w:t>-</w:t>
      </w:r>
      <w:r w:rsidRPr="00D91731">
        <w:rPr>
          <w:rFonts w:asciiTheme="majorHAnsi" w:hAnsiTheme="majorHAnsi"/>
          <w:sz w:val="20"/>
          <w:szCs w:val="20"/>
          <w:lang w:val="fr-CH"/>
        </w:rPr>
        <w:t>côtières appartiennent aux provinces. Ce sont les gouvernements provinciaux qui reçoivent les redevances générées par l’exploration des ressources naturelles sur le territoire intra</w:t>
      </w:r>
      <w:r w:rsidR="00EF0078" w:rsidRPr="003061F8">
        <w:rPr>
          <w:rFonts w:asciiTheme="majorHAnsi" w:hAnsiTheme="majorHAnsi"/>
          <w:sz w:val="20"/>
          <w:szCs w:val="20"/>
          <w:lang w:val="fr-CH"/>
        </w:rPr>
        <w:t>-</w:t>
      </w:r>
      <w:r w:rsidRPr="00D91731">
        <w:rPr>
          <w:rFonts w:asciiTheme="majorHAnsi" w:hAnsiTheme="majorHAnsi"/>
          <w:sz w:val="20"/>
          <w:szCs w:val="20"/>
          <w:lang w:val="fr-CH"/>
        </w:rPr>
        <w:t>côtier. La production du pétrole et de gaz naturel est concentrée dans la province de l’Alberta qui produit les deux tiers de la production totale. Le reste de la production provient de l’Ouest canadien, essentiellement de la Colombie-Britannique et de la Saskatchewan et, dans les provinces situées sur la Côte-Est, de la Nouvelle-Écosse et de la province de Terre-Neuve et Labrador. La concentration de ces ressources fait en sorte qu’il y a d’importantes disparités économiques régionales.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Il faut souligner cependant que</w:t>
      </w:r>
      <w:r w:rsidR="00EF0078" w:rsidRPr="003061F8">
        <w:rPr>
          <w:rFonts w:asciiTheme="majorHAnsi" w:hAnsiTheme="majorHAnsi"/>
          <w:sz w:val="20"/>
          <w:szCs w:val="20"/>
          <w:lang w:val="fr-CH"/>
        </w:rPr>
        <w:t>,</w:t>
      </w:r>
      <w:r w:rsidRPr="00D91731">
        <w:rPr>
          <w:rFonts w:asciiTheme="majorHAnsi" w:hAnsiTheme="majorHAnsi"/>
          <w:sz w:val="20"/>
          <w:szCs w:val="20"/>
          <w:lang w:val="fr-CH"/>
        </w:rPr>
        <w:t xml:space="preserve"> bien que les ressources </w:t>
      </w:r>
      <w:proofErr w:type="spellStart"/>
      <w:r w:rsidRPr="00D91731">
        <w:rPr>
          <w:rFonts w:asciiTheme="majorHAnsi" w:hAnsiTheme="majorHAnsi"/>
          <w:sz w:val="20"/>
          <w:szCs w:val="20"/>
          <w:lang w:val="fr-CH"/>
        </w:rPr>
        <w:t>extra</w:t>
      </w:r>
      <w:r w:rsidR="00321B41">
        <w:rPr>
          <w:rFonts w:asciiTheme="majorHAnsi" w:hAnsiTheme="majorHAnsi"/>
          <w:sz w:val="20"/>
          <w:szCs w:val="20"/>
          <w:lang w:val="fr-CH"/>
        </w:rPr>
        <w:t>-</w:t>
      </w:r>
      <w:r w:rsidRPr="00D91731">
        <w:rPr>
          <w:rFonts w:asciiTheme="majorHAnsi" w:hAnsiTheme="majorHAnsi"/>
          <w:sz w:val="20"/>
          <w:szCs w:val="20"/>
          <w:lang w:val="fr-CH"/>
        </w:rPr>
        <w:t>côtières</w:t>
      </w:r>
      <w:proofErr w:type="spellEnd"/>
      <w:r w:rsidRPr="00D91731">
        <w:rPr>
          <w:rFonts w:asciiTheme="majorHAnsi" w:hAnsiTheme="majorHAnsi"/>
          <w:sz w:val="20"/>
          <w:szCs w:val="20"/>
          <w:lang w:val="fr-CH"/>
        </w:rPr>
        <w:t xml:space="preserve"> relèvent uniquement du gouvernement central, des ententes ont été </w:t>
      </w:r>
      <w:r w:rsidR="00EF0078" w:rsidRPr="003061F8">
        <w:rPr>
          <w:rFonts w:asciiTheme="majorHAnsi" w:hAnsiTheme="majorHAnsi"/>
          <w:sz w:val="20"/>
          <w:szCs w:val="20"/>
          <w:lang w:val="fr-CH"/>
        </w:rPr>
        <w:t xml:space="preserve">conclues </w:t>
      </w:r>
      <w:r w:rsidRPr="00D91731">
        <w:rPr>
          <w:rFonts w:asciiTheme="majorHAnsi" w:hAnsiTheme="majorHAnsi"/>
          <w:sz w:val="20"/>
          <w:szCs w:val="20"/>
          <w:lang w:val="fr-CH"/>
        </w:rPr>
        <w:t xml:space="preserve">entre Ottawa et les provinces de Terre-Neuve et Labrador ainsi que de la Nouvelle-Écosse au milieu des années 1980 pour que ces provinces (moins nanties à l’époque) puissent tirer directement profit de l’exploitation des ressources pétrolière et gazière au large des côtes.  Ces ententes ont été signées à la suite de la prise du pouvoir </w:t>
      </w:r>
      <w:r w:rsidR="00EF0078" w:rsidRPr="003061F8">
        <w:rPr>
          <w:rFonts w:asciiTheme="majorHAnsi" w:hAnsiTheme="majorHAnsi"/>
          <w:sz w:val="20"/>
          <w:szCs w:val="20"/>
          <w:lang w:val="fr-CH"/>
        </w:rPr>
        <w:t xml:space="preserve">en 1984 </w:t>
      </w:r>
      <w:r w:rsidRPr="00D91731">
        <w:rPr>
          <w:rFonts w:asciiTheme="majorHAnsi" w:hAnsiTheme="majorHAnsi"/>
          <w:sz w:val="20"/>
          <w:szCs w:val="20"/>
          <w:lang w:val="fr-CH"/>
        </w:rPr>
        <w:t>par les Conservateurs de Brian Mulroney</w:t>
      </w:r>
      <w:r w:rsidR="00EF0078" w:rsidRPr="003061F8">
        <w:rPr>
          <w:rFonts w:asciiTheme="majorHAnsi" w:hAnsiTheme="majorHAnsi"/>
          <w:sz w:val="20"/>
          <w:szCs w:val="20"/>
          <w:lang w:val="fr-CH"/>
        </w:rPr>
        <w:t>,</w:t>
      </w:r>
      <w:r w:rsidRPr="00D91731">
        <w:rPr>
          <w:rFonts w:asciiTheme="majorHAnsi" w:hAnsiTheme="majorHAnsi"/>
          <w:sz w:val="20"/>
          <w:szCs w:val="20"/>
          <w:lang w:val="fr-CH"/>
        </w:rPr>
        <w:t xml:space="preserve"> qui voulait atténuer les pratiques des gouvernements libéraux précédents.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rPr>
      </w:pPr>
      <w:r w:rsidRPr="00D91731">
        <w:rPr>
          <w:rFonts w:asciiTheme="majorHAnsi" w:hAnsiTheme="majorHAnsi"/>
          <w:sz w:val="20"/>
          <w:szCs w:val="20"/>
          <w:lang w:val="fr-CH"/>
        </w:rPr>
        <w:t xml:space="preserve">À l’échelle du pays, des ententes ont été signées à divers moments avec des Premières nations pour que leurs communautés puissent disposer du fruit de l’exploitation des ressources naturelles sur les territoires qu’ils habitent. </w:t>
      </w:r>
      <w:r w:rsidR="00EF0078" w:rsidRPr="003061F8">
        <w:rPr>
          <w:rFonts w:asciiTheme="majorHAnsi" w:hAnsiTheme="majorHAnsi"/>
          <w:sz w:val="20"/>
          <w:szCs w:val="20"/>
          <w:lang w:val="fr-CH"/>
        </w:rPr>
        <w:t xml:space="preserve"> </w:t>
      </w:r>
      <w:r w:rsidRPr="00D91731">
        <w:rPr>
          <w:rFonts w:asciiTheme="majorHAnsi" w:hAnsiTheme="majorHAnsi"/>
          <w:sz w:val="20"/>
          <w:szCs w:val="20"/>
          <w:lang w:val="fr-CH"/>
        </w:rPr>
        <w:t xml:space="preserve">Les ressources qui se trouvent sur les territoires du Yukon, sur les Territoires du Nord-Ouest et au Nunavut relèvent du gouvernement central. </w:t>
      </w:r>
      <w:proofErr w:type="gramStart"/>
      <w:r w:rsidRPr="00D91731">
        <w:rPr>
          <w:rFonts w:asciiTheme="majorHAnsi" w:hAnsiTheme="majorHAnsi"/>
          <w:sz w:val="20"/>
          <w:szCs w:val="20"/>
        </w:rPr>
        <w:t xml:space="preserve">On y </w:t>
      </w:r>
      <w:proofErr w:type="spellStart"/>
      <w:r w:rsidRPr="00D91731">
        <w:rPr>
          <w:rFonts w:asciiTheme="majorHAnsi" w:hAnsiTheme="majorHAnsi"/>
          <w:sz w:val="20"/>
          <w:szCs w:val="20"/>
        </w:rPr>
        <w:t>reviendra</w:t>
      </w:r>
      <w:proofErr w:type="spellEnd"/>
      <w:r w:rsidRPr="00D91731">
        <w:rPr>
          <w:rFonts w:asciiTheme="majorHAnsi" w:hAnsiTheme="majorHAnsi"/>
          <w:sz w:val="20"/>
          <w:szCs w:val="20"/>
        </w:rPr>
        <w:t xml:space="preserve"> plus loin.</w:t>
      </w:r>
      <w:proofErr w:type="gramEnd"/>
    </w:p>
    <w:p w:rsidR="00321B41" w:rsidRDefault="00321B41">
      <w:pPr>
        <w:rPr>
          <w:rFonts w:asciiTheme="majorHAnsi" w:hAnsiTheme="majorHAnsi" w:cs="Times New Roman"/>
          <w:sz w:val="20"/>
          <w:szCs w:val="20"/>
          <w:lang w:eastAsia="fr-FR"/>
        </w:rPr>
      </w:pPr>
    </w:p>
    <w:p w:rsidR="001828DE" w:rsidRDefault="00D91731">
      <w:pPr>
        <w:pStyle w:val="NormalWeb"/>
        <w:spacing w:before="2" w:after="2" w:line="360" w:lineRule="auto"/>
        <w:jc w:val="center"/>
        <w:rPr>
          <w:rFonts w:asciiTheme="majorHAnsi" w:hAnsiTheme="majorHAnsi"/>
          <w:b/>
        </w:rPr>
      </w:pPr>
      <w:r w:rsidRPr="00D91731">
        <w:rPr>
          <w:rFonts w:asciiTheme="majorHAnsi" w:hAnsiTheme="majorHAnsi"/>
          <w:b/>
        </w:rPr>
        <w:t xml:space="preserve">Tableau </w:t>
      </w:r>
      <w:proofErr w:type="gramStart"/>
      <w:r w:rsidRPr="00D91731">
        <w:rPr>
          <w:rFonts w:asciiTheme="majorHAnsi" w:hAnsiTheme="majorHAnsi"/>
          <w:b/>
        </w:rPr>
        <w:t>3 :</w:t>
      </w:r>
      <w:proofErr w:type="gramEnd"/>
      <w:r w:rsidRPr="00D91731">
        <w:rPr>
          <w:rFonts w:asciiTheme="majorHAnsi" w:hAnsiTheme="majorHAnsi"/>
          <w:b/>
        </w:rPr>
        <w:t xml:space="preserve"> Portrait </w:t>
      </w:r>
      <w:proofErr w:type="spellStart"/>
      <w:r w:rsidRPr="00D91731">
        <w:rPr>
          <w:rFonts w:asciiTheme="majorHAnsi" w:hAnsiTheme="majorHAnsi"/>
          <w:b/>
        </w:rPr>
        <w:t>démographique</w:t>
      </w:r>
      <w:proofErr w:type="spellEnd"/>
    </w:p>
    <w:p w:rsidR="001828DE" w:rsidRDefault="001828DE">
      <w:pPr>
        <w:pStyle w:val="NormalWeb"/>
        <w:spacing w:before="2" w:after="2" w:line="360" w:lineRule="auto"/>
        <w:jc w:val="center"/>
        <w:rPr>
          <w:rFonts w:asciiTheme="majorHAnsi" w:hAnsiTheme="majorHAnsi"/>
          <w:b/>
        </w:rPr>
      </w:pPr>
    </w:p>
    <w:tbl>
      <w:tblPr>
        <w:tblW w:w="6380" w:type="dxa"/>
        <w:tblInd w:w="108"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Look w:val="0000"/>
      </w:tblPr>
      <w:tblGrid>
        <w:gridCol w:w="3580"/>
        <w:gridCol w:w="2800"/>
      </w:tblGrid>
      <w:tr w:rsidR="00C81966" w:rsidRPr="003061F8">
        <w:tc>
          <w:tcPr>
            <w:tcW w:w="3580" w:type="dxa"/>
            <w:tcBorders>
              <w:top w:val="double" w:sz="4" w:space="0" w:color="auto"/>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 </w:t>
            </w:r>
          </w:p>
        </w:tc>
        <w:tc>
          <w:tcPr>
            <w:tcW w:w="2800" w:type="dxa"/>
            <w:tcBorders>
              <w:top w:val="double" w:sz="4" w:space="0" w:color="auto"/>
              <w:right w:val="thinThick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1</w:t>
            </w:r>
            <w:r w:rsidRPr="00D91731">
              <w:rPr>
                <w:rFonts w:asciiTheme="majorHAnsi" w:hAnsiTheme="majorHAnsi"/>
                <w:vertAlign w:val="superscript"/>
              </w:rPr>
              <w:t>er</w:t>
            </w:r>
            <w:r w:rsidRPr="00D91731">
              <w:rPr>
                <w:rFonts w:asciiTheme="majorHAnsi" w:hAnsiTheme="majorHAnsi"/>
              </w:rPr>
              <w:t xml:space="preserve"> </w:t>
            </w:r>
            <w:proofErr w:type="spellStart"/>
            <w:r w:rsidRPr="00D91731">
              <w:rPr>
                <w:rFonts w:asciiTheme="majorHAnsi" w:hAnsiTheme="majorHAnsi"/>
              </w:rPr>
              <w:t>janvier</w:t>
            </w:r>
            <w:proofErr w:type="spellEnd"/>
            <w:r w:rsidRPr="00D91731">
              <w:rPr>
                <w:rFonts w:asciiTheme="majorHAnsi" w:hAnsiTheme="majorHAnsi"/>
              </w:rPr>
              <w:t xml:space="preserve"> 2010 </w:t>
            </w:r>
            <w:r w:rsidR="001A7B69">
              <w:rPr>
                <w:rFonts w:asciiTheme="majorHAnsi" w:hAnsiTheme="majorHAnsi"/>
                <w:u w:val="single" w:color="001B89"/>
              </w:rPr>
              <w:t>*</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Canada</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33 930 830</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Terre-</w:t>
            </w:r>
            <w:proofErr w:type="spellStart"/>
            <w:r w:rsidRPr="00D91731">
              <w:rPr>
                <w:rFonts w:asciiTheme="majorHAnsi" w:hAnsiTheme="majorHAnsi"/>
              </w:rPr>
              <w:t>Neuve</w:t>
            </w:r>
            <w:proofErr w:type="spellEnd"/>
            <w:r w:rsidRPr="00D91731">
              <w:rPr>
                <w:rFonts w:asciiTheme="majorHAnsi" w:hAnsiTheme="majorHAnsi"/>
              </w:rPr>
              <w:t>-et-Labrador</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510 805</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proofErr w:type="spellStart"/>
            <w:r w:rsidRPr="00D91731">
              <w:rPr>
                <w:rFonts w:asciiTheme="majorHAnsi" w:hAnsiTheme="majorHAnsi"/>
              </w:rPr>
              <w:t>Île-du-Prince-Édouard</w:t>
            </w:r>
            <w:proofErr w:type="spellEnd"/>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141 232</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Nouvelle-</w:t>
            </w:r>
            <w:proofErr w:type="spellStart"/>
            <w:r w:rsidRPr="00D91731">
              <w:rPr>
                <w:rFonts w:asciiTheme="majorHAnsi" w:hAnsiTheme="majorHAnsi"/>
              </w:rPr>
              <w:t>Écosse</w:t>
            </w:r>
            <w:proofErr w:type="spellEnd"/>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940 744</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Nouveau-Brunswick</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750 658</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Québec</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7 870 026</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Ontario</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13 134 455</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Manitoba</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1 228 984</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Saskatchewan</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1 038 018</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Alberta</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3 711 845</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proofErr w:type="spellStart"/>
            <w:r w:rsidRPr="00D91731">
              <w:rPr>
                <w:rFonts w:asciiTheme="majorHAnsi" w:hAnsiTheme="majorHAnsi"/>
              </w:rPr>
              <w:t>Colombie-Britannique</w:t>
            </w:r>
            <w:proofErr w:type="spellEnd"/>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4 494 232</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Yukon</w:t>
            </w:r>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33 992</w:t>
            </w:r>
          </w:p>
        </w:tc>
      </w:tr>
      <w:tr w:rsidR="00C81966" w:rsidRPr="003061F8">
        <w:tc>
          <w:tcPr>
            <w:tcW w:w="3580" w:type="dxa"/>
            <w:tcBorders>
              <w:left w:val="thickThinSmallGap" w:sz="2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proofErr w:type="spellStart"/>
            <w:r w:rsidRPr="00D91731">
              <w:rPr>
                <w:rFonts w:asciiTheme="majorHAnsi" w:hAnsiTheme="majorHAnsi"/>
              </w:rPr>
              <w:t>Territoires</w:t>
            </w:r>
            <w:proofErr w:type="spellEnd"/>
            <w:r w:rsidRPr="00D91731">
              <w:rPr>
                <w:rFonts w:asciiTheme="majorHAnsi" w:hAnsiTheme="majorHAnsi"/>
              </w:rPr>
              <w:t xml:space="preserve"> </w:t>
            </w:r>
            <w:proofErr w:type="spellStart"/>
            <w:r w:rsidRPr="00D91731">
              <w:rPr>
                <w:rFonts w:asciiTheme="majorHAnsi" w:hAnsiTheme="majorHAnsi"/>
              </w:rPr>
              <w:t>du</w:t>
            </w:r>
            <w:proofErr w:type="spellEnd"/>
            <w:r w:rsidRPr="00D91731">
              <w:rPr>
                <w:rFonts w:asciiTheme="majorHAnsi" w:hAnsiTheme="majorHAnsi"/>
              </w:rPr>
              <w:t xml:space="preserve"> </w:t>
            </w:r>
            <w:proofErr w:type="spellStart"/>
            <w:r w:rsidRPr="00D91731">
              <w:rPr>
                <w:rFonts w:asciiTheme="majorHAnsi" w:hAnsiTheme="majorHAnsi"/>
              </w:rPr>
              <w:t>Nord-Ouest</w:t>
            </w:r>
            <w:proofErr w:type="spellEnd"/>
          </w:p>
        </w:tc>
        <w:tc>
          <w:tcPr>
            <w:tcW w:w="2800" w:type="dxa"/>
            <w:tcBorders>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43 281</w:t>
            </w:r>
          </w:p>
        </w:tc>
      </w:tr>
      <w:tr w:rsidR="00C81966" w:rsidRPr="003061F8">
        <w:tc>
          <w:tcPr>
            <w:tcW w:w="3580" w:type="dxa"/>
            <w:tcBorders>
              <w:left w:val="thickThinSmallGap" w:sz="24" w:space="0" w:color="auto"/>
              <w:bottom w:val="double" w:sz="4" w:space="0" w:color="auto"/>
            </w:tcBorders>
            <w:shd w:val="clear" w:color="auto" w:fill="auto"/>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Nunavut</w:t>
            </w:r>
          </w:p>
        </w:tc>
        <w:tc>
          <w:tcPr>
            <w:tcW w:w="2800" w:type="dxa"/>
            <w:tcBorders>
              <w:bottom w:val="double" w:sz="4" w:space="0" w:color="auto"/>
              <w:right w:val="thinThickSmallGap" w:sz="24" w:space="0" w:color="auto"/>
            </w:tcBorders>
            <w:tcMar>
              <w:top w:w="120" w:type="nil"/>
              <w:left w:w="20" w:type="nil"/>
              <w:bottom w:w="20" w:type="nil"/>
              <w:right w:w="240" w:type="nil"/>
            </w:tcMar>
            <w:vAlign w:val="center"/>
          </w:tcPr>
          <w:p w:rsidR="001828DE" w:rsidRDefault="00D91731">
            <w:pPr>
              <w:pStyle w:val="NormalWeb"/>
              <w:spacing w:before="2" w:after="2" w:line="360" w:lineRule="auto"/>
              <w:rPr>
                <w:rFonts w:asciiTheme="majorHAnsi" w:hAnsiTheme="majorHAnsi"/>
              </w:rPr>
            </w:pPr>
            <w:r w:rsidRPr="00D91731">
              <w:rPr>
                <w:rFonts w:asciiTheme="majorHAnsi" w:hAnsiTheme="majorHAnsi"/>
              </w:rPr>
              <w:t>32 558</w:t>
            </w:r>
          </w:p>
        </w:tc>
      </w:tr>
    </w:tbl>
    <w:p w:rsidR="001828DE" w:rsidRPr="00BC3703" w:rsidRDefault="001A7B69">
      <w:pPr>
        <w:pStyle w:val="NormalWeb"/>
        <w:spacing w:before="2" w:after="2" w:line="360" w:lineRule="auto"/>
        <w:jc w:val="both"/>
        <w:rPr>
          <w:rFonts w:asciiTheme="majorHAnsi" w:hAnsiTheme="majorHAnsi"/>
          <w:lang w:val="fr-FR"/>
        </w:rPr>
      </w:pPr>
      <w:r w:rsidRPr="00BC3703">
        <w:rPr>
          <w:rFonts w:asciiTheme="majorHAnsi" w:hAnsiTheme="majorHAnsi"/>
          <w:lang w:val="fr-FR"/>
        </w:rPr>
        <w:t>*</w:t>
      </w:r>
      <w:r w:rsidR="00D91731" w:rsidRPr="00BC3703">
        <w:rPr>
          <w:rFonts w:asciiTheme="majorHAnsi" w:hAnsiTheme="majorHAnsi"/>
          <w:lang w:val="fr-FR"/>
        </w:rPr>
        <w:t xml:space="preserve"> Estimations post</w:t>
      </w:r>
      <w:r w:rsidR="00EF0078" w:rsidRPr="00BC3703">
        <w:rPr>
          <w:rFonts w:asciiTheme="majorHAnsi" w:hAnsiTheme="majorHAnsi"/>
          <w:lang w:val="fr-FR"/>
        </w:rPr>
        <w:t>-</w:t>
      </w:r>
      <w:r w:rsidR="00D91731" w:rsidRPr="00BC3703">
        <w:rPr>
          <w:rFonts w:asciiTheme="majorHAnsi" w:hAnsiTheme="majorHAnsi"/>
          <w:lang w:val="fr-FR"/>
        </w:rPr>
        <w:t>censitaires provisoires.</w:t>
      </w: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Note : Ces estimations sont fondées sur les comptes du Recensement de</w:t>
      </w:r>
      <w:r w:rsidR="00EF0078" w:rsidRPr="003061F8">
        <w:rPr>
          <w:rFonts w:asciiTheme="majorHAnsi" w:hAnsiTheme="majorHAnsi"/>
          <w:sz w:val="20"/>
          <w:szCs w:val="20"/>
          <w:lang w:val="fr-CH"/>
        </w:rPr>
        <w:t xml:space="preserve"> </w:t>
      </w:r>
      <w:r w:rsidRPr="00D91731">
        <w:rPr>
          <w:rFonts w:asciiTheme="majorHAnsi" w:hAnsiTheme="majorHAnsi"/>
          <w:sz w:val="20"/>
          <w:szCs w:val="20"/>
          <w:lang w:val="fr-CH"/>
        </w:rPr>
        <w:t>2006</w:t>
      </w:r>
      <w:r w:rsidR="00EF0078" w:rsidRPr="003061F8">
        <w:rPr>
          <w:rFonts w:asciiTheme="majorHAnsi" w:hAnsiTheme="majorHAnsi"/>
          <w:sz w:val="20"/>
          <w:szCs w:val="20"/>
          <w:lang w:val="fr-CH"/>
        </w:rPr>
        <w:t xml:space="preserve"> </w:t>
      </w:r>
      <w:r w:rsidRPr="00D91731">
        <w:rPr>
          <w:rFonts w:asciiTheme="majorHAnsi" w:hAnsiTheme="majorHAnsi"/>
          <w:sz w:val="20"/>
          <w:szCs w:val="20"/>
          <w:lang w:val="fr-CH"/>
        </w:rPr>
        <w:t>r</w:t>
      </w:r>
      <w:r w:rsidR="00EF0078" w:rsidRPr="003061F8">
        <w:rPr>
          <w:rFonts w:asciiTheme="majorHAnsi" w:hAnsiTheme="majorHAnsi"/>
          <w:sz w:val="20"/>
          <w:szCs w:val="20"/>
          <w:lang w:val="fr-CH"/>
        </w:rPr>
        <w:t>é</w:t>
      </w:r>
      <w:r w:rsidRPr="00D91731">
        <w:rPr>
          <w:rFonts w:asciiTheme="majorHAnsi" w:hAnsiTheme="majorHAnsi"/>
          <w:sz w:val="20"/>
          <w:szCs w:val="20"/>
          <w:lang w:val="fr-CH"/>
        </w:rPr>
        <w:t>ajustés pour tenir compte du sous-dénombrement net du recensement et des réserves indiennes partiellement dénombrées.</w:t>
      </w:r>
    </w:p>
    <w:p w:rsidR="00290AF3" w:rsidRPr="00290AF3" w:rsidRDefault="00D91731" w:rsidP="001A156F">
      <w:pPr>
        <w:spacing w:line="360" w:lineRule="auto"/>
        <w:jc w:val="both"/>
        <w:rPr>
          <w:rFonts w:asciiTheme="majorHAnsi" w:eastAsia="Times New Roman" w:hAnsiTheme="majorHAnsi" w:cs="Times New Roman"/>
          <w:color w:val="FF0000"/>
          <w:sz w:val="20"/>
          <w:szCs w:val="20"/>
          <w:lang w:val="fr-CH" w:eastAsia="en-US"/>
        </w:rPr>
      </w:pPr>
      <w:r w:rsidRPr="00D91731">
        <w:rPr>
          <w:rFonts w:asciiTheme="majorHAnsi" w:hAnsiTheme="majorHAnsi"/>
          <w:sz w:val="20"/>
          <w:szCs w:val="20"/>
          <w:lang w:val="fr-CH"/>
        </w:rPr>
        <w:t>Source : Statistique Canada.  http://www.statcan.gc.ca/daily-quotidien/100325/t100325a2-fra.htm</w:t>
      </w:r>
      <w:r w:rsidR="00EF0078" w:rsidRPr="001A156F">
        <w:rPr>
          <w:rFonts w:asciiTheme="majorHAnsi" w:hAnsiTheme="majorHAnsi"/>
          <w:color w:val="FF0000"/>
          <w:sz w:val="20"/>
          <w:szCs w:val="20"/>
          <w:lang w:val="fr-CH"/>
        </w:rPr>
        <w:t xml:space="preserve"> </w:t>
      </w:r>
      <w:r w:rsidR="009D06F2">
        <w:rPr>
          <w:rFonts w:asciiTheme="majorHAnsi" w:hAnsiTheme="majorHAnsi"/>
          <w:color w:val="FF0000"/>
          <w:sz w:val="20"/>
          <w:szCs w:val="20"/>
          <w:lang w:val="fr-CH"/>
        </w:rPr>
        <w:t>E</w:t>
      </w:r>
      <w:r w:rsidR="00F9767F" w:rsidRPr="00F9767F">
        <w:rPr>
          <w:rFonts w:asciiTheme="majorHAnsi" w:hAnsiTheme="majorHAnsi"/>
          <w:color w:val="FF0000"/>
          <w:sz w:val="20"/>
          <w:szCs w:val="20"/>
          <w:lang w:val="fr-CH"/>
        </w:rPr>
        <w:t>n</w:t>
      </w:r>
      <w:r w:rsidR="00BC3703">
        <w:rPr>
          <w:rFonts w:asciiTheme="majorHAnsi" w:hAnsiTheme="majorHAnsi"/>
          <w:color w:val="FF0000"/>
          <w:sz w:val="20"/>
          <w:szCs w:val="20"/>
          <w:lang w:val="fr-CH"/>
        </w:rPr>
        <w:t xml:space="preserve"> ce qui concerne les ressources naturelles, </w:t>
      </w:r>
      <w:r w:rsidR="003445E4" w:rsidRPr="00290AF3">
        <w:rPr>
          <w:rFonts w:asciiTheme="majorHAnsi" w:hAnsiTheme="majorHAnsi"/>
          <w:color w:val="FF0000"/>
          <w:sz w:val="20"/>
          <w:szCs w:val="20"/>
          <w:lang w:val="fr-FR"/>
        </w:rPr>
        <w:t>l’organisme américain spécialisé dans les engrais, l</w:t>
      </w:r>
      <w:r w:rsidR="009D06F2">
        <w:rPr>
          <w:rFonts w:asciiTheme="majorHAnsi" w:hAnsiTheme="majorHAnsi"/>
          <w:color w:val="FF0000"/>
          <w:sz w:val="20"/>
          <w:szCs w:val="20"/>
          <w:lang w:val="fr-FR"/>
        </w:rPr>
        <w:t>‘</w:t>
      </w:r>
      <w:r w:rsidR="005E1D17">
        <w:rPr>
          <w:rFonts w:asciiTheme="majorHAnsi" w:hAnsiTheme="majorHAnsi"/>
          <w:color w:val="FF0000"/>
          <w:sz w:val="20"/>
          <w:szCs w:val="20"/>
          <w:lang w:val="fr-FR"/>
        </w:rPr>
        <w:t>« </w:t>
      </w:r>
      <w:r w:rsidR="003445E4" w:rsidRPr="00290AF3">
        <w:rPr>
          <w:rFonts w:asciiTheme="majorHAnsi" w:hAnsiTheme="majorHAnsi"/>
          <w:color w:val="FF0000"/>
          <w:sz w:val="20"/>
          <w:szCs w:val="20"/>
          <w:lang w:val="fr-FR"/>
        </w:rPr>
        <w:t xml:space="preserve">International </w:t>
      </w:r>
      <w:proofErr w:type="spellStart"/>
      <w:r w:rsidR="003445E4" w:rsidRPr="00290AF3">
        <w:rPr>
          <w:rFonts w:asciiTheme="majorHAnsi" w:hAnsiTheme="majorHAnsi"/>
          <w:color w:val="FF0000"/>
          <w:sz w:val="20"/>
          <w:szCs w:val="20"/>
          <w:lang w:val="fr-FR"/>
        </w:rPr>
        <w:t>Fertilizer</w:t>
      </w:r>
      <w:proofErr w:type="spellEnd"/>
      <w:r w:rsidR="003445E4" w:rsidRPr="00290AF3">
        <w:rPr>
          <w:rFonts w:asciiTheme="majorHAnsi" w:hAnsiTheme="majorHAnsi"/>
          <w:color w:val="FF0000"/>
          <w:sz w:val="20"/>
          <w:szCs w:val="20"/>
          <w:lang w:val="fr-FR"/>
        </w:rPr>
        <w:t xml:space="preserve"> </w:t>
      </w:r>
      <w:proofErr w:type="spellStart"/>
      <w:r w:rsidR="003445E4" w:rsidRPr="00290AF3">
        <w:rPr>
          <w:rFonts w:asciiTheme="majorHAnsi" w:hAnsiTheme="majorHAnsi"/>
          <w:color w:val="FF0000"/>
          <w:sz w:val="20"/>
          <w:szCs w:val="20"/>
          <w:lang w:val="fr-FR"/>
        </w:rPr>
        <w:t>Development</w:t>
      </w:r>
      <w:proofErr w:type="spellEnd"/>
      <w:r w:rsidR="003445E4" w:rsidRPr="00290AF3">
        <w:rPr>
          <w:rFonts w:asciiTheme="majorHAnsi" w:hAnsiTheme="majorHAnsi"/>
          <w:color w:val="FF0000"/>
          <w:sz w:val="20"/>
          <w:szCs w:val="20"/>
          <w:lang w:val="fr-FR"/>
        </w:rPr>
        <w:t xml:space="preserve"> Center</w:t>
      </w:r>
      <w:r w:rsidR="005E1D17">
        <w:rPr>
          <w:rFonts w:asciiTheme="majorHAnsi" w:hAnsiTheme="majorHAnsi"/>
          <w:color w:val="FF0000"/>
          <w:sz w:val="20"/>
          <w:szCs w:val="20"/>
          <w:lang w:val="fr-FR"/>
        </w:rPr>
        <w:t> »</w:t>
      </w:r>
      <w:r w:rsidR="003445E4" w:rsidRPr="00290AF3">
        <w:rPr>
          <w:rFonts w:asciiTheme="majorHAnsi" w:hAnsiTheme="majorHAnsi"/>
          <w:color w:val="FF0000"/>
          <w:sz w:val="20"/>
          <w:szCs w:val="20"/>
          <w:lang w:val="fr-FR"/>
        </w:rPr>
        <w:t xml:space="preserve"> (IFDC), </w:t>
      </w:r>
      <w:r w:rsidR="00290AF3">
        <w:rPr>
          <w:rFonts w:asciiTheme="majorHAnsi" w:hAnsiTheme="majorHAnsi"/>
          <w:color w:val="FF0000"/>
          <w:sz w:val="20"/>
          <w:szCs w:val="20"/>
          <w:lang w:val="fr-FR"/>
        </w:rPr>
        <w:t xml:space="preserve">a estimé, </w:t>
      </w:r>
      <w:r w:rsidR="003445E4" w:rsidRPr="00290AF3">
        <w:rPr>
          <w:rFonts w:asciiTheme="majorHAnsi" w:hAnsiTheme="majorHAnsi"/>
          <w:color w:val="FF0000"/>
          <w:sz w:val="20"/>
          <w:szCs w:val="20"/>
          <w:lang w:val="fr-FR"/>
        </w:rPr>
        <w:t>dans une étude financée par le USAID datant de 2010,</w:t>
      </w:r>
      <w:r w:rsidR="00290AF3">
        <w:rPr>
          <w:rFonts w:asciiTheme="majorHAnsi" w:hAnsiTheme="majorHAnsi"/>
          <w:color w:val="FF0000"/>
          <w:sz w:val="20"/>
          <w:szCs w:val="20"/>
          <w:lang w:val="fr-FR"/>
        </w:rPr>
        <w:t xml:space="preserve"> que</w:t>
      </w:r>
      <w:r w:rsidR="003445E4" w:rsidRPr="00290AF3">
        <w:rPr>
          <w:rFonts w:asciiTheme="majorHAnsi" w:hAnsiTheme="majorHAnsi"/>
          <w:color w:val="FF0000"/>
          <w:sz w:val="20"/>
          <w:szCs w:val="20"/>
          <w:lang w:val="fr-FR"/>
        </w:rPr>
        <w:t xml:space="preserve"> les réserves  de la région du Sahara sont évaluées à 1 milliard de m</w:t>
      </w:r>
      <w:r w:rsidR="00F9767F">
        <w:rPr>
          <w:rFonts w:asciiTheme="majorHAnsi" w:hAnsiTheme="majorHAnsi"/>
          <w:color w:val="FF0000"/>
          <w:sz w:val="20"/>
          <w:szCs w:val="20"/>
          <w:vertAlign w:val="superscript"/>
          <w:lang w:val="fr-FR"/>
        </w:rPr>
        <w:t>3</w:t>
      </w:r>
      <w:r w:rsidR="003445E4" w:rsidRPr="00290AF3">
        <w:rPr>
          <w:rFonts w:asciiTheme="majorHAnsi" w:hAnsiTheme="majorHAnsi"/>
          <w:color w:val="FF0000"/>
          <w:sz w:val="20"/>
          <w:szCs w:val="20"/>
          <w:lang w:val="fr-FR"/>
        </w:rPr>
        <w:t xml:space="preserve"> de roches de phosphates (soit au mieux, l’équivalent de 825 millions de tonnes) et 51 milliards de tonnes pour l’ensemble du Maroc</w:t>
      </w:r>
      <w:r w:rsidR="00290AF3">
        <w:rPr>
          <w:rFonts w:asciiTheme="majorHAnsi" w:hAnsiTheme="majorHAnsi"/>
          <w:color w:val="FF0000"/>
          <w:sz w:val="20"/>
          <w:szCs w:val="20"/>
          <w:lang w:val="fr-FR"/>
        </w:rPr>
        <w:t>.</w:t>
      </w:r>
      <w:r w:rsidR="003445E4" w:rsidRPr="00290AF3">
        <w:rPr>
          <w:rFonts w:asciiTheme="majorHAnsi" w:hAnsiTheme="majorHAnsi"/>
          <w:color w:val="FF0000"/>
          <w:sz w:val="20"/>
          <w:szCs w:val="20"/>
          <w:lang w:val="fr-FR"/>
        </w:rPr>
        <w:t xml:space="preserve"> Ainsi, la part des réserves de la région du Sahara représente</w:t>
      </w:r>
      <w:r w:rsidR="009D06F2">
        <w:rPr>
          <w:rFonts w:asciiTheme="majorHAnsi" w:hAnsiTheme="majorHAnsi"/>
          <w:color w:val="FF0000"/>
          <w:sz w:val="20"/>
          <w:szCs w:val="20"/>
          <w:lang w:val="fr-FR"/>
        </w:rPr>
        <w:t xml:space="preserve"> seulement </w:t>
      </w:r>
      <w:r w:rsidR="003445E4" w:rsidRPr="00290AF3">
        <w:rPr>
          <w:rFonts w:asciiTheme="majorHAnsi" w:hAnsiTheme="majorHAnsi"/>
          <w:color w:val="FF0000"/>
          <w:sz w:val="20"/>
          <w:szCs w:val="20"/>
          <w:lang w:val="fr-FR"/>
        </w:rPr>
        <w:t>1,6 % des réserves de phosphates du Maroc</w:t>
      </w:r>
      <w:r w:rsidR="00290AF3">
        <w:rPr>
          <w:rFonts w:asciiTheme="majorHAnsi" w:hAnsiTheme="majorHAnsi"/>
          <w:color w:val="FF0000"/>
          <w:sz w:val="20"/>
          <w:szCs w:val="20"/>
          <w:lang w:val="fr-FR"/>
        </w:rPr>
        <w:t>.</w:t>
      </w:r>
      <w:r w:rsidR="009D06F2">
        <w:rPr>
          <w:rStyle w:val="FootnoteReference"/>
          <w:rFonts w:asciiTheme="majorHAnsi" w:hAnsiTheme="majorHAnsi"/>
          <w:color w:val="FF0000"/>
          <w:sz w:val="20"/>
          <w:szCs w:val="20"/>
          <w:lang w:val="fr-FR"/>
        </w:rPr>
        <w:footnoteReference w:id="6"/>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i/>
          <w:sz w:val="20"/>
          <w:szCs w:val="20"/>
          <w:lang w:val="fr-CH"/>
        </w:rPr>
      </w:pPr>
      <w:r w:rsidRPr="00D91731">
        <w:rPr>
          <w:rFonts w:asciiTheme="majorHAnsi" w:hAnsiTheme="majorHAnsi"/>
          <w:i/>
          <w:sz w:val="20"/>
          <w:szCs w:val="20"/>
          <w:lang w:val="fr-CH"/>
        </w:rPr>
        <w:t>B. Le principe de la péréquation</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Dans le but d’atténuer les tensions politiques pouvant découler du fait que les régions ne soient pas dotées également de ressources, le gouvernement central a mis sur pied, en 1957, un programme de redistribution de la richesse. Il s’agit de la péréquation. L’idée avancée était de permettre à chacun des États membres de fournir à ses citoyens des services publics comparables tout en prélevant des impôts comparables. On établit le montant auquel les provinces dites pauvres ont droit en comparant la capacité fiscale de chacune des provinces avec la capacité fiscale moyenne des dix provinces. Dans la mesure où il y a un écart entre ces deux mesures, le gouvernement central cherchera à combler la différence en versant des paiements de péréquation plus ou moins importants selon le cas (voir Tableau 4).</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Ce programme a passé plusieurs tests au cours des ans.  De façon assez prévisible, les provinces riches disent habituellement fournir trop à ce fonds alors que les provinces pauvres cherchent à faire la démonstration qu’elles reçoivent trop peu pour répondre aux besoins de leurs populations. Il s’agit d’un enjeu social et politique majeur au Canada pour les années à venir d’autant plus que le centre de gravité de la population canadienne se déplace graduellement vers l’Ouest canadien, là où justement on retrouve les plus importantes ressources gazières et pétrolières au pays. Cette force d’attraction des provinces de l’Ouest fait en sorte que les provinces de l’Est perdent en vitalité économique et en leadership politique.</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 principe de la péréquation est inscrit au paragraphe 36 (2) de l’Acte constitutionnel de 1982 et se lit comme suit : « Le Parlement et le gouvernement du Canada prennent l’engagement de principe de faire des paiements de péréquation propres à donner aux gouvernements provinciaux des revenus suffisants pour les mettre en mesure d’assurer les services publics à un niveau de qualité et de fiscalité sensiblement comparables. »</w:t>
      </w:r>
    </w:p>
    <w:p w:rsidR="001828DE" w:rsidRDefault="001828DE">
      <w:pPr>
        <w:spacing w:line="360" w:lineRule="auto"/>
        <w:jc w:val="both"/>
        <w:rPr>
          <w:rFonts w:asciiTheme="majorHAnsi" w:hAnsiTheme="majorHAnsi"/>
          <w:sz w:val="20"/>
          <w:szCs w:val="20"/>
          <w:lang w:val="fr-CH"/>
        </w:rPr>
      </w:pPr>
    </w:p>
    <w:p w:rsidR="00000000" w:rsidRDefault="00D91731" w:rsidP="00DA5C56">
      <w:pPr>
        <w:spacing w:beforeLines="1" w:afterLines="1" w:line="360" w:lineRule="auto"/>
        <w:jc w:val="center"/>
        <w:outlineLvl w:val="1"/>
        <w:rPr>
          <w:rFonts w:asciiTheme="majorHAnsi" w:hAnsiTheme="majorHAnsi"/>
          <w:b/>
          <w:bCs/>
          <w:color w:val="333333"/>
          <w:sz w:val="20"/>
          <w:szCs w:val="20"/>
          <w:lang w:val="fr-CA" w:eastAsia="fr-FR"/>
        </w:rPr>
      </w:pPr>
      <w:r w:rsidRPr="00D91731">
        <w:rPr>
          <w:rFonts w:asciiTheme="majorHAnsi" w:hAnsiTheme="majorHAnsi"/>
          <w:b/>
          <w:bCs/>
          <w:color w:val="333333"/>
          <w:sz w:val="20"/>
          <w:szCs w:val="20"/>
          <w:lang w:val="fr-CA" w:eastAsia="fr-FR"/>
        </w:rPr>
        <w:t>Tableau 4: Comment fonctionne la péréquation au Canada (2012-2013)</w:t>
      </w:r>
    </w:p>
    <w:p w:rsidR="00000000" w:rsidRDefault="00DA5C56" w:rsidP="00DA5C56">
      <w:pPr>
        <w:spacing w:beforeLines="1" w:afterLines="1" w:line="360" w:lineRule="auto"/>
        <w:jc w:val="center"/>
        <w:outlineLvl w:val="1"/>
        <w:rPr>
          <w:rFonts w:asciiTheme="majorHAnsi" w:hAnsiTheme="majorHAnsi"/>
          <w:b/>
          <w:bCs/>
          <w:color w:val="333333"/>
          <w:sz w:val="20"/>
          <w:szCs w:val="20"/>
          <w:lang w:val="fr-CA" w:eastAsia="fr-FR"/>
        </w:rPr>
      </w:pPr>
    </w:p>
    <w:tbl>
      <w:tblPr>
        <w:tblStyle w:val="TableGrid"/>
        <w:tblW w:w="0" w:type="auto"/>
        <w:tblLook w:val="04A0"/>
      </w:tblPr>
      <w:tblGrid>
        <w:gridCol w:w="9281"/>
      </w:tblGrid>
      <w:tr w:rsidR="003061F8" w:rsidRPr="00DA5C56">
        <w:tc>
          <w:tcPr>
            <w:tcW w:w="9281" w:type="dxa"/>
          </w:tcPr>
          <w:p w:rsidR="00000000" w:rsidRDefault="003061F8" w:rsidP="00DA5C56">
            <w:pPr>
              <w:numPr>
                <w:ilvl w:val="0"/>
                <w:numId w:val="13"/>
              </w:numPr>
              <w:spacing w:beforeLines="1" w:afterLines="1"/>
              <w:contextualSpacing/>
              <w:jc w:val="both"/>
              <w:rPr>
                <w:rFonts w:asciiTheme="majorHAnsi" w:hAnsiTheme="majorHAnsi"/>
                <w:color w:val="000000"/>
                <w:sz w:val="20"/>
                <w:szCs w:val="20"/>
                <w:lang w:val="fr-CA" w:eastAsia="fr-FR"/>
              </w:rPr>
            </w:pPr>
            <w:r w:rsidRPr="003061F8">
              <w:rPr>
                <w:rFonts w:asciiTheme="majorHAnsi" w:hAnsiTheme="majorHAnsi"/>
                <w:color w:val="000000"/>
                <w:sz w:val="20"/>
                <w:szCs w:val="20"/>
                <w:lang w:val="fr-CA" w:eastAsia="fr-FR"/>
              </w:rPr>
              <w:t>Les droits à la péréquation sont établis en mesurant la capacité des provinces de générer des revenus, ce qu’on appelle la « capacité fiscale ».</w:t>
            </w:r>
          </w:p>
        </w:tc>
      </w:tr>
      <w:tr w:rsidR="003061F8" w:rsidRPr="00DA5C56">
        <w:tc>
          <w:tcPr>
            <w:tcW w:w="9281" w:type="dxa"/>
          </w:tcPr>
          <w:p w:rsidR="00000000" w:rsidRDefault="00D91731" w:rsidP="00DA5C56">
            <w:pPr>
              <w:pStyle w:val="ListParagraph"/>
              <w:numPr>
                <w:ilvl w:val="0"/>
                <w:numId w:val="13"/>
              </w:numPr>
              <w:spacing w:beforeLines="1" w:afterLines="1"/>
              <w:jc w:val="both"/>
              <w:outlineLvl w:val="1"/>
              <w:rPr>
                <w:rFonts w:asciiTheme="majorHAnsi" w:hAnsiTheme="majorHAnsi"/>
                <w:bCs/>
                <w:caps/>
                <w:color w:val="333333"/>
                <w:sz w:val="20"/>
                <w:szCs w:val="20"/>
                <w:lang w:val="fr-CA" w:eastAsia="fr-FR"/>
              </w:rPr>
            </w:pPr>
            <w:r w:rsidRPr="00D91731">
              <w:rPr>
                <w:rFonts w:asciiTheme="majorHAnsi" w:hAnsiTheme="majorHAnsi"/>
                <w:color w:val="000000"/>
                <w:sz w:val="20"/>
                <w:szCs w:val="20"/>
                <w:lang w:val="fr-CA" w:eastAsia="fr-FR"/>
              </w:rPr>
              <w:t>Avant tout réajustement, le droit à péréquation par habitant d’une province est égal au montant qui manque à sa capacité fiscale pour atteindre la capacité fiscale moyenne de l’ensemble des provinces, ce qu’on appelle la « norme de 10 provinces ».</w:t>
            </w:r>
          </w:p>
        </w:tc>
      </w:tr>
      <w:tr w:rsidR="003061F8" w:rsidRPr="00DA5C56">
        <w:tc>
          <w:tcPr>
            <w:tcW w:w="9281" w:type="dxa"/>
          </w:tcPr>
          <w:p w:rsidR="00000000" w:rsidRDefault="003061F8" w:rsidP="00DA5C56">
            <w:pPr>
              <w:numPr>
                <w:ilvl w:val="0"/>
                <w:numId w:val="13"/>
              </w:numPr>
              <w:spacing w:beforeLines="1" w:afterLines="1"/>
              <w:contextualSpacing/>
              <w:jc w:val="both"/>
              <w:rPr>
                <w:rFonts w:asciiTheme="majorHAnsi" w:hAnsiTheme="majorHAnsi"/>
                <w:color w:val="000000"/>
                <w:sz w:val="20"/>
                <w:szCs w:val="20"/>
                <w:lang w:val="fr-CA" w:eastAsia="fr-FR"/>
              </w:rPr>
            </w:pPr>
            <w:r w:rsidRPr="003061F8">
              <w:rPr>
                <w:rFonts w:asciiTheme="majorHAnsi" w:hAnsiTheme="majorHAnsi"/>
                <w:color w:val="000000"/>
                <w:sz w:val="20"/>
                <w:szCs w:val="20"/>
                <w:lang w:val="fr-CA" w:eastAsia="fr-FR"/>
              </w:rPr>
              <w:t>Les provinces reçoivent le plus élevé des deux montants suivants : le montant qu’elles recevraient en excluant la totalité des revenus des ressources naturelles ou le montant qu’elles recevraient en excluant 50 % des revenus des ressources naturelles.</w:t>
            </w:r>
          </w:p>
        </w:tc>
      </w:tr>
      <w:tr w:rsidR="003061F8" w:rsidRPr="00DA5C56">
        <w:tc>
          <w:tcPr>
            <w:tcW w:w="9281" w:type="dxa"/>
          </w:tcPr>
          <w:p w:rsidR="00000000" w:rsidRDefault="00D91731" w:rsidP="00DA5C56">
            <w:pPr>
              <w:pStyle w:val="ListParagraph"/>
              <w:numPr>
                <w:ilvl w:val="0"/>
                <w:numId w:val="13"/>
              </w:numPr>
              <w:spacing w:beforeLines="1" w:afterLines="1"/>
              <w:jc w:val="both"/>
              <w:outlineLvl w:val="1"/>
              <w:rPr>
                <w:rFonts w:asciiTheme="majorHAnsi" w:hAnsiTheme="majorHAnsi"/>
                <w:bCs/>
                <w:caps/>
                <w:color w:val="333333"/>
                <w:sz w:val="20"/>
                <w:szCs w:val="20"/>
                <w:lang w:val="fr-CA" w:eastAsia="fr-FR"/>
              </w:rPr>
            </w:pPr>
            <w:r w:rsidRPr="00D91731">
              <w:rPr>
                <w:rFonts w:asciiTheme="majorHAnsi" w:hAnsiTheme="majorHAnsi"/>
                <w:color w:val="000000"/>
                <w:sz w:val="20"/>
                <w:szCs w:val="20"/>
                <w:lang w:val="fr-CA" w:eastAsia="fr-FR"/>
              </w:rPr>
              <w:t>La péréquation est r</w:t>
            </w:r>
            <w:r w:rsidR="003061F8" w:rsidRPr="003061F8">
              <w:rPr>
                <w:rFonts w:asciiTheme="majorHAnsi" w:hAnsiTheme="majorHAnsi"/>
                <w:color w:val="000000"/>
                <w:sz w:val="20"/>
                <w:szCs w:val="20"/>
                <w:lang w:val="fr-CA" w:eastAsia="fr-FR"/>
              </w:rPr>
              <w:t>é</w:t>
            </w:r>
            <w:r w:rsidRPr="00D91731">
              <w:rPr>
                <w:rFonts w:asciiTheme="majorHAnsi" w:hAnsiTheme="majorHAnsi"/>
                <w:color w:val="000000"/>
                <w:sz w:val="20"/>
                <w:szCs w:val="20"/>
                <w:lang w:val="fr-CA" w:eastAsia="fr-FR"/>
              </w:rPr>
              <w:t>ajustée de manière à assurer l’équité entre les provinces tout en permettant aux provinces bénéficiaires de continuer à recevoir un avantage fiscal net pour l’exploitation de leurs ressources équivalant à la moitié de leurs revenus de ressources par habitant.</w:t>
            </w:r>
          </w:p>
        </w:tc>
      </w:tr>
      <w:tr w:rsidR="003061F8" w:rsidRPr="00DA5C56">
        <w:tc>
          <w:tcPr>
            <w:tcW w:w="9281" w:type="dxa"/>
          </w:tcPr>
          <w:p w:rsidR="00000000" w:rsidRDefault="003061F8" w:rsidP="00DA5C56">
            <w:pPr>
              <w:pStyle w:val="ListParagraph"/>
              <w:numPr>
                <w:ilvl w:val="0"/>
                <w:numId w:val="13"/>
              </w:numPr>
              <w:spacing w:beforeLines="1" w:afterLines="1"/>
              <w:jc w:val="both"/>
              <w:outlineLvl w:val="1"/>
              <w:rPr>
                <w:rFonts w:asciiTheme="majorHAnsi" w:hAnsiTheme="majorHAnsi"/>
                <w:color w:val="000000"/>
                <w:sz w:val="20"/>
                <w:szCs w:val="20"/>
                <w:lang w:val="fr-CA" w:eastAsia="fr-FR"/>
              </w:rPr>
            </w:pPr>
            <w:r w:rsidRPr="003061F8">
              <w:rPr>
                <w:rFonts w:asciiTheme="majorHAnsi" w:hAnsiTheme="majorHAnsi"/>
                <w:color w:val="000000"/>
                <w:sz w:val="20"/>
                <w:szCs w:val="20"/>
                <w:lang w:val="fr-CA" w:eastAsia="fr-FR"/>
              </w:rPr>
              <w:t>La péréquation est également réajustée de façon à ce que les paiements pour l’ensemble du programme continuent d’augmenter en fonction de l’économie. Cette augmentation est fondée sur la moyenne mobile de croissance du produit intérieur brut (PIB) sur trois ans. Cela favorise la stabilité et la prévisibilité tout en permettant de tenir compte de la croissance économique.</w:t>
            </w:r>
          </w:p>
        </w:tc>
      </w:tr>
      <w:tr w:rsidR="003061F8" w:rsidRPr="00DA5C56">
        <w:tc>
          <w:tcPr>
            <w:tcW w:w="9281" w:type="dxa"/>
          </w:tcPr>
          <w:p w:rsidR="00000000" w:rsidRDefault="003061F8" w:rsidP="00DA5C56">
            <w:pPr>
              <w:pStyle w:val="ListParagraph"/>
              <w:numPr>
                <w:ilvl w:val="0"/>
                <w:numId w:val="13"/>
              </w:numPr>
              <w:spacing w:beforeLines="1" w:afterLines="1"/>
              <w:jc w:val="both"/>
              <w:outlineLvl w:val="1"/>
              <w:rPr>
                <w:rFonts w:asciiTheme="majorHAnsi" w:hAnsiTheme="majorHAnsi"/>
                <w:color w:val="000000"/>
                <w:sz w:val="20"/>
                <w:szCs w:val="20"/>
                <w:lang w:val="fr-CA" w:eastAsia="fr-FR"/>
              </w:rPr>
            </w:pPr>
            <w:r w:rsidRPr="003061F8">
              <w:rPr>
                <w:rFonts w:asciiTheme="majorHAnsi" w:hAnsiTheme="majorHAnsi"/>
                <w:color w:val="000000"/>
                <w:sz w:val="20"/>
                <w:szCs w:val="20"/>
                <w:lang w:val="fr-CA" w:eastAsia="fr-FR"/>
              </w:rPr>
              <w:t xml:space="preserve">Le programme fait aussi en sorte de maintenir les avantages accordés à la Nouvelle-Écosse et à Terre-Neuve-et-Labrador aux termes des Accords atlantiques. En 2007, les deux provinces ont eu le choix de continuer de fonctionner selon l’ancien système de péréquation ou d’adhérer de façon permanente au nouveau programme, et ce, à n’importe quel moment avant l’expiration des ententes sur les ressources </w:t>
            </w:r>
            <w:proofErr w:type="spellStart"/>
            <w:r w:rsidRPr="003061F8">
              <w:rPr>
                <w:rFonts w:asciiTheme="majorHAnsi" w:hAnsiTheme="majorHAnsi"/>
                <w:color w:val="000000"/>
                <w:sz w:val="20"/>
                <w:szCs w:val="20"/>
                <w:lang w:val="fr-CA" w:eastAsia="fr-FR"/>
              </w:rPr>
              <w:t>extra-côtières</w:t>
            </w:r>
            <w:proofErr w:type="spellEnd"/>
            <w:r w:rsidRPr="003061F8">
              <w:rPr>
                <w:rFonts w:asciiTheme="majorHAnsi" w:hAnsiTheme="majorHAnsi"/>
                <w:color w:val="000000"/>
                <w:sz w:val="20"/>
                <w:szCs w:val="20"/>
                <w:lang w:val="fr-CA" w:eastAsia="fr-FR"/>
              </w:rPr>
              <w:t>. Ayant choisi le nouveau programme, la Nouvelle-Écosse est assurée de bénéficier d’un traitement au moins aussi favorable, à titre cumulatif, qu’en vertu de la formule appliquée lorsque l’Accord a été signé. Terre-Neuve-et-Labrador n’est plus admissible à la péréquation.</w:t>
            </w:r>
          </w:p>
        </w:tc>
      </w:tr>
    </w:tbl>
    <w:p w:rsidR="001828DE" w:rsidRDefault="001828DE" w:rsidP="00DA5C56">
      <w:pPr>
        <w:spacing w:beforeLines="1" w:afterLines="1" w:line="360" w:lineRule="auto"/>
        <w:jc w:val="both"/>
        <w:outlineLvl w:val="1"/>
        <w:rPr>
          <w:rFonts w:asciiTheme="majorHAnsi" w:hAnsiTheme="majorHAnsi"/>
          <w:bCs/>
          <w:caps/>
          <w:color w:val="333333"/>
          <w:sz w:val="20"/>
          <w:szCs w:val="20"/>
          <w:lang w:val="fr-CA" w:eastAsia="fr-FR"/>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Source : http://www.fin.gc.ca/fedprov/eqp-fra.asp</w:t>
      </w:r>
    </w:p>
    <w:p w:rsidR="009B6D0D" w:rsidRDefault="003061F8" w:rsidP="002614F5">
      <w:pPr>
        <w:spacing w:line="360" w:lineRule="auto"/>
        <w:jc w:val="both"/>
        <w:rPr>
          <w:rFonts w:asciiTheme="majorHAnsi" w:hAnsiTheme="majorHAnsi"/>
          <w:color w:val="FF0000"/>
          <w:sz w:val="20"/>
          <w:szCs w:val="20"/>
          <w:lang w:val="fr-CH"/>
        </w:rPr>
      </w:pPr>
      <w:r w:rsidRPr="009D5457">
        <w:rPr>
          <w:rFonts w:asciiTheme="majorHAnsi" w:hAnsiTheme="majorHAnsi"/>
          <w:color w:val="FF0000"/>
          <w:sz w:val="20"/>
          <w:szCs w:val="20"/>
          <w:lang w:val="fr-CH"/>
        </w:rPr>
        <w:t xml:space="preserve">Pour comparer avec les dispositions prévues par l’Initiative marocaine pour la </w:t>
      </w:r>
      <w:r w:rsidR="00BA595A" w:rsidRPr="009D5457">
        <w:rPr>
          <w:rFonts w:asciiTheme="majorHAnsi" w:hAnsiTheme="majorHAnsi"/>
          <w:color w:val="FF0000"/>
          <w:sz w:val="20"/>
          <w:szCs w:val="20"/>
          <w:lang w:val="fr-CH"/>
        </w:rPr>
        <w:t>Région autonome du Sahara, rappelons que, comme indiqué ci-dessus, les ressources de la Région incluront « l</w:t>
      </w:r>
      <w:r w:rsidR="00D91731" w:rsidRPr="009D5457">
        <w:rPr>
          <w:rFonts w:asciiTheme="majorHAnsi" w:hAnsiTheme="majorHAnsi"/>
          <w:color w:val="FF0000"/>
          <w:sz w:val="20"/>
          <w:szCs w:val="20"/>
          <w:lang w:val="fr-CH"/>
        </w:rPr>
        <w:t>es ressources nécessaires allouées dans le cadre de la solidarité nationale</w:t>
      </w:r>
      <w:r w:rsidR="00BA595A" w:rsidRPr="009D5457">
        <w:rPr>
          <w:rFonts w:asciiTheme="majorHAnsi" w:hAnsiTheme="majorHAnsi"/>
          <w:color w:val="FF0000"/>
          <w:sz w:val="20"/>
          <w:szCs w:val="20"/>
          <w:lang w:val="fr-CH"/>
        </w:rPr>
        <w:t> », lesquelles devront être précisées dans le cadre de la négociation entre les parties.</w:t>
      </w:r>
      <w:r w:rsidR="00290AF3">
        <w:rPr>
          <w:rFonts w:asciiTheme="majorHAnsi" w:hAnsiTheme="majorHAnsi"/>
          <w:color w:val="FF0000"/>
          <w:sz w:val="20"/>
          <w:szCs w:val="20"/>
          <w:lang w:val="fr-CH"/>
        </w:rPr>
        <w:t xml:space="preserve"> Cependant, il est important de mettre en relief </w:t>
      </w:r>
      <w:r w:rsidR="005E1D17">
        <w:rPr>
          <w:rFonts w:asciiTheme="majorHAnsi" w:hAnsiTheme="majorHAnsi"/>
          <w:color w:val="FF0000"/>
          <w:sz w:val="20"/>
          <w:szCs w:val="20"/>
          <w:lang w:val="fr-CH"/>
        </w:rPr>
        <w:t xml:space="preserve">que la région du Sahara a bénéficié, depuis le retrait des </w:t>
      </w:r>
      <w:r w:rsidR="009D06F2">
        <w:rPr>
          <w:rFonts w:asciiTheme="majorHAnsi" w:hAnsiTheme="majorHAnsi"/>
          <w:color w:val="FF0000"/>
          <w:sz w:val="20"/>
          <w:szCs w:val="20"/>
          <w:lang w:val="fr-CH"/>
        </w:rPr>
        <w:t>E</w:t>
      </w:r>
      <w:r w:rsidR="005E1D17">
        <w:rPr>
          <w:rFonts w:asciiTheme="majorHAnsi" w:hAnsiTheme="majorHAnsi"/>
          <w:color w:val="FF0000"/>
          <w:sz w:val="20"/>
          <w:szCs w:val="20"/>
          <w:lang w:val="fr-CH"/>
        </w:rPr>
        <w:t>spagnols en 1975, d’</w:t>
      </w:r>
      <w:r w:rsidR="00290AF3">
        <w:rPr>
          <w:rFonts w:asciiTheme="majorHAnsi" w:hAnsiTheme="majorHAnsi"/>
          <w:color w:val="FF0000"/>
          <w:sz w:val="20"/>
          <w:szCs w:val="20"/>
          <w:lang w:val="fr-CH"/>
        </w:rPr>
        <w:t xml:space="preserve">importants efforts </w:t>
      </w:r>
      <w:r w:rsidR="005E1D17">
        <w:rPr>
          <w:rFonts w:asciiTheme="majorHAnsi" w:hAnsiTheme="majorHAnsi"/>
          <w:color w:val="FF0000"/>
          <w:sz w:val="20"/>
          <w:szCs w:val="20"/>
          <w:lang w:val="fr-CH"/>
        </w:rPr>
        <w:t>de</w:t>
      </w:r>
      <w:r w:rsidR="00290AF3">
        <w:rPr>
          <w:rFonts w:asciiTheme="majorHAnsi" w:hAnsiTheme="majorHAnsi"/>
          <w:color w:val="FF0000"/>
          <w:sz w:val="20"/>
          <w:szCs w:val="20"/>
          <w:lang w:val="fr-CH"/>
        </w:rPr>
        <w:t xml:space="preserve"> </w:t>
      </w:r>
      <w:r w:rsidR="005E1D17">
        <w:rPr>
          <w:rFonts w:asciiTheme="majorHAnsi" w:hAnsiTheme="majorHAnsi"/>
          <w:color w:val="FF0000"/>
          <w:sz w:val="20"/>
          <w:szCs w:val="20"/>
          <w:lang w:val="fr-CH"/>
        </w:rPr>
        <w:t>promotion et de</w:t>
      </w:r>
      <w:r w:rsidR="005E1D17" w:rsidRPr="005E1D17">
        <w:rPr>
          <w:rFonts w:asciiTheme="majorHAnsi" w:hAnsiTheme="majorHAnsi"/>
          <w:color w:val="FF0000"/>
          <w:sz w:val="20"/>
          <w:szCs w:val="20"/>
          <w:lang w:val="fr-FR"/>
        </w:rPr>
        <w:t xml:space="preserve"> développement économique et social</w:t>
      </w:r>
      <w:r w:rsidR="00A70AC4">
        <w:rPr>
          <w:rFonts w:asciiTheme="majorHAnsi" w:hAnsiTheme="majorHAnsi"/>
          <w:color w:val="FF0000"/>
          <w:sz w:val="20"/>
          <w:szCs w:val="20"/>
          <w:lang w:val="fr-FR"/>
        </w:rPr>
        <w:t xml:space="preserve"> par l’Etat </w:t>
      </w:r>
      <w:r w:rsidR="009D06F2">
        <w:rPr>
          <w:rFonts w:asciiTheme="majorHAnsi" w:hAnsiTheme="majorHAnsi"/>
          <w:color w:val="FF0000"/>
          <w:sz w:val="20"/>
          <w:szCs w:val="20"/>
          <w:lang w:val="fr-FR"/>
        </w:rPr>
        <w:t xml:space="preserve">marocain </w:t>
      </w:r>
      <w:r w:rsidR="009B6D0D">
        <w:rPr>
          <w:rFonts w:asciiTheme="majorHAnsi" w:hAnsiTheme="majorHAnsi"/>
          <w:color w:val="FF0000"/>
          <w:sz w:val="20"/>
          <w:szCs w:val="20"/>
          <w:lang w:val="fr-FR"/>
        </w:rPr>
        <w:t xml:space="preserve">pour réaliser son désenclavement et son insertion économique dans le pays </w:t>
      </w:r>
      <w:r w:rsidR="00A70AC4">
        <w:rPr>
          <w:rFonts w:asciiTheme="majorHAnsi" w:hAnsiTheme="majorHAnsi"/>
          <w:color w:val="FF0000"/>
          <w:sz w:val="20"/>
          <w:szCs w:val="20"/>
          <w:lang w:val="fr-FR"/>
        </w:rPr>
        <w:t>et ce,</w:t>
      </w:r>
      <w:r w:rsidR="005E1D17">
        <w:rPr>
          <w:rFonts w:asciiTheme="majorHAnsi" w:hAnsiTheme="majorHAnsi"/>
          <w:color w:val="FF0000"/>
          <w:sz w:val="20"/>
          <w:szCs w:val="20"/>
          <w:lang w:val="fr-CH"/>
        </w:rPr>
        <w:t xml:space="preserve"> dans le cadre de la solidarité nationale. </w:t>
      </w:r>
      <w:r w:rsidR="00A70AC4">
        <w:rPr>
          <w:rFonts w:asciiTheme="majorHAnsi" w:hAnsiTheme="majorHAnsi"/>
          <w:color w:val="FF0000"/>
          <w:sz w:val="20"/>
          <w:szCs w:val="20"/>
          <w:lang w:val="fr-CH"/>
        </w:rPr>
        <w:t>Ce</w:t>
      </w:r>
      <w:r w:rsidR="009D06F2">
        <w:rPr>
          <w:rFonts w:asciiTheme="majorHAnsi" w:hAnsiTheme="majorHAnsi"/>
          <w:color w:val="FF0000"/>
          <w:sz w:val="20"/>
          <w:szCs w:val="20"/>
          <w:lang w:val="fr-CH"/>
        </w:rPr>
        <w:t>c</w:t>
      </w:r>
      <w:r w:rsidR="00A70AC4">
        <w:rPr>
          <w:rFonts w:asciiTheme="majorHAnsi" w:hAnsiTheme="majorHAnsi"/>
          <w:color w:val="FF0000"/>
          <w:sz w:val="20"/>
          <w:szCs w:val="20"/>
          <w:lang w:val="fr-CH"/>
        </w:rPr>
        <w:t>i a permis de combler le déficit en matière d</w:t>
      </w:r>
      <w:r w:rsidR="003445E4">
        <w:rPr>
          <w:rFonts w:asciiTheme="majorHAnsi" w:hAnsiTheme="majorHAnsi"/>
          <w:color w:val="FF0000"/>
          <w:sz w:val="20"/>
          <w:szCs w:val="20"/>
          <w:lang w:val="fr-CH"/>
        </w:rPr>
        <w:t>’infrastructure dont souffrait la région</w:t>
      </w:r>
      <w:r w:rsidR="00C57D8C">
        <w:rPr>
          <w:rFonts w:asciiTheme="majorHAnsi" w:hAnsiTheme="majorHAnsi"/>
          <w:color w:val="FF0000"/>
          <w:sz w:val="20"/>
          <w:szCs w:val="20"/>
          <w:lang w:val="fr-CH"/>
        </w:rPr>
        <w:t xml:space="preserve"> en 1975</w:t>
      </w:r>
      <w:r w:rsidR="009B6D0D">
        <w:rPr>
          <w:rFonts w:asciiTheme="majorHAnsi" w:hAnsiTheme="majorHAnsi"/>
          <w:color w:val="FF0000"/>
          <w:sz w:val="20"/>
          <w:szCs w:val="20"/>
          <w:lang w:val="fr-CH"/>
        </w:rPr>
        <w:t xml:space="preserve"> et de lui donner la structuration qui lui manquait</w:t>
      </w:r>
      <w:r w:rsidR="003445E4">
        <w:rPr>
          <w:rFonts w:asciiTheme="majorHAnsi" w:hAnsiTheme="majorHAnsi"/>
          <w:color w:val="FF0000"/>
          <w:sz w:val="20"/>
          <w:szCs w:val="20"/>
          <w:lang w:val="fr-CH"/>
        </w:rPr>
        <w:t xml:space="preserve">. </w:t>
      </w:r>
      <w:r w:rsidR="009B6D0D">
        <w:rPr>
          <w:rFonts w:asciiTheme="majorHAnsi" w:hAnsiTheme="majorHAnsi"/>
          <w:color w:val="FF0000"/>
          <w:sz w:val="20"/>
          <w:szCs w:val="20"/>
          <w:lang w:val="fr-CH"/>
        </w:rPr>
        <w:t xml:space="preserve">Ces investissements ont permis de mettre la région du Sahara au même niveau de développement que les autres régions du Maroc dans la majorité des domaines, en particulier celui de l’infrastructure. Bien plus, la région du </w:t>
      </w:r>
      <w:proofErr w:type="gramStart"/>
      <w:r w:rsidR="009B6D0D">
        <w:rPr>
          <w:rFonts w:asciiTheme="majorHAnsi" w:hAnsiTheme="majorHAnsi"/>
          <w:color w:val="FF0000"/>
          <w:sz w:val="20"/>
          <w:szCs w:val="20"/>
          <w:lang w:val="fr-CH"/>
        </w:rPr>
        <w:t>Sahara a</w:t>
      </w:r>
      <w:proofErr w:type="gramEnd"/>
      <w:r w:rsidR="009B6D0D">
        <w:rPr>
          <w:rFonts w:asciiTheme="majorHAnsi" w:hAnsiTheme="majorHAnsi"/>
          <w:color w:val="FF0000"/>
          <w:sz w:val="20"/>
          <w:szCs w:val="20"/>
          <w:lang w:val="fr-CH"/>
        </w:rPr>
        <w:t xml:space="preserve"> dépassé les autres régions du Royaume, notamment dans les domaines:</w:t>
      </w:r>
    </w:p>
    <w:p w:rsidR="009B6D0D" w:rsidRDefault="009B6D0D" w:rsidP="009B6D0D">
      <w:pPr>
        <w:spacing w:line="360" w:lineRule="auto"/>
        <w:jc w:val="both"/>
        <w:rPr>
          <w:rFonts w:asciiTheme="majorHAnsi" w:hAnsiTheme="majorHAnsi"/>
          <w:color w:val="FF0000"/>
          <w:sz w:val="20"/>
          <w:szCs w:val="20"/>
          <w:lang w:val="fr-CH"/>
        </w:rPr>
      </w:pPr>
      <w:r>
        <w:rPr>
          <w:rFonts w:asciiTheme="majorHAnsi" w:hAnsiTheme="majorHAnsi"/>
          <w:color w:val="FF0000"/>
          <w:sz w:val="20"/>
          <w:szCs w:val="20"/>
          <w:lang w:val="fr-CH"/>
        </w:rPr>
        <w:t xml:space="preserve">- </w:t>
      </w:r>
      <w:r w:rsidRPr="009B6D0D">
        <w:rPr>
          <w:rFonts w:asciiTheme="majorHAnsi" w:hAnsiTheme="majorHAnsi"/>
          <w:b/>
          <w:bCs/>
          <w:i/>
          <w:iCs/>
          <w:color w:val="FF0000"/>
          <w:sz w:val="20"/>
          <w:szCs w:val="20"/>
          <w:lang w:val="fr-CH"/>
        </w:rPr>
        <w:t>du développement humain</w:t>
      </w:r>
      <w:r>
        <w:rPr>
          <w:rFonts w:asciiTheme="majorHAnsi" w:hAnsiTheme="majorHAnsi"/>
          <w:color w:val="FF0000"/>
          <w:sz w:val="20"/>
          <w:szCs w:val="20"/>
          <w:lang w:val="fr-CH"/>
        </w:rPr>
        <w:t> : l’indice de développement humain dans la région du Sahara est de 0,770 pour le Sahara, par rapport à la moyenne nationale qui est de 0,660</w:t>
      </w:r>
      <w:r w:rsidR="009D06F2">
        <w:rPr>
          <w:rFonts w:asciiTheme="majorHAnsi" w:hAnsiTheme="majorHAnsi"/>
          <w:color w:val="FF0000"/>
          <w:sz w:val="20"/>
          <w:szCs w:val="20"/>
          <w:lang w:val="fr-CH"/>
        </w:rPr>
        <w:t> ;</w:t>
      </w:r>
      <w:r>
        <w:rPr>
          <w:rFonts w:asciiTheme="majorHAnsi" w:hAnsiTheme="majorHAnsi"/>
          <w:color w:val="FF0000"/>
          <w:sz w:val="20"/>
          <w:szCs w:val="20"/>
          <w:lang w:val="fr-CH"/>
        </w:rPr>
        <w:t xml:space="preserve"> </w:t>
      </w:r>
    </w:p>
    <w:p w:rsidR="009B6D0D" w:rsidRDefault="009B6D0D" w:rsidP="009B6D0D">
      <w:pPr>
        <w:spacing w:line="360" w:lineRule="auto"/>
        <w:jc w:val="both"/>
        <w:rPr>
          <w:rFonts w:asciiTheme="majorHAnsi" w:hAnsiTheme="majorHAnsi"/>
          <w:color w:val="FF0000"/>
          <w:sz w:val="20"/>
          <w:szCs w:val="20"/>
          <w:lang w:val="fr-CH"/>
        </w:rPr>
      </w:pPr>
      <w:r>
        <w:rPr>
          <w:rFonts w:asciiTheme="majorHAnsi" w:hAnsiTheme="majorHAnsi"/>
          <w:color w:val="FF0000"/>
          <w:sz w:val="20"/>
          <w:szCs w:val="20"/>
          <w:lang w:val="fr-CH"/>
        </w:rPr>
        <w:t xml:space="preserve">- </w:t>
      </w:r>
      <w:r w:rsidRPr="009B6D0D">
        <w:rPr>
          <w:rFonts w:asciiTheme="majorHAnsi" w:hAnsiTheme="majorHAnsi"/>
          <w:b/>
          <w:bCs/>
          <w:i/>
          <w:iCs/>
          <w:color w:val="FF0000"/>
          <w:sz w:val="20"/>
          <w:szCs w:val="20"/>
          <w:lang w:val="fr-CH"/>
        </w:rPr>
        <w:t>de la lutte contre la pauvreté</w:t>
      </w:r>
      <w:r>
        <w:rPr>
          <w:rFonts w:asciiTheme="majorHAnsi" w:hAnsiTheme="majorHAnsi"/>
          <w:color w:val="FF0000"/>
          <w:sz w:val="20"/>
          <w:szCs w:val="20"/>
          <w:lang w:val="fr-CH"/>
        </w:rPr>
        <w:t> : l’indice de pauvreté dans la région du Sahara est de 2</w:t>
      </w:r>
      <w:r w:rsidR="009D06F2">
        <w:rPr>
          <w:rFonts w:asciiTheme="majorHAnsi" w:hAnsiTheme="majorHAnsi"/>
          <w:color w:val="FF0000"/>
          <w:sz w:val="20"/>
          <w:szCs w:val="20"/>
          <w:lang w:val="fr-CH"/>
        </w:rPr>
        <w:t> </w:t>
      </w:r>
      <w:r>
        <w:rPr>
          <w:rFonts w:asciiTheme="majorHAnsi" w:hAnsiTheme="majorHAnsi"/>
          <w:color w:val="FF0000"/>
          <w:sz w:val="20"/>
          <w:szCs w:val="20"/>
          <w:lang w:val="fr-CH"/>
        </w:rPr>
        <w:t>% par rapport à 9</w:t>
      </w:r>
      <w:r w:rsidR="009D06F2">
        <w:rPr>
          <w:rFonts w:asciiTheme="majorHAnsi" w:hAnsiTheme="majorHAnsi"/>
          <w:color w:val="FF0000"/>
          <w:sz w:val="20"/>
          <w:szCs w:val="20"/>
          <w:lang w:val="fr-CH"/>
        </w:rPr>
        <w:t> </w:t>
      </w:r>
      <w:r>
        <w:rPr>
          <w:rFonts w:asciiTheme="majorHAnsi" w:hAnsiTheme="majorHAnsi"/>
          <w:color w:val="FF0000"/>
          <w:sz w:val="20"/>
          <w:szCs w:val="20"/>
          <w:lang w:val="fr-CH"/>
        </w:rPr>
        <w:t>% au niveau national</w:t>
      </w:r>
      <w:r w:rsidR="009D06F2">
        <w:rPr>
          <w:rFonts w:asciiTheme="majorHAnsi" w:hAnsiTheme="majorHAnsi"/>
          <w:color w:val="FF0000"/>
          <w:sz w:val="20"/>
          <w:szCs w:val="20"/>
          <w:lang w:val="fr-CH"/>
        </w:rPr>
        <w:t> ;</w:t>
      </w:r>
    </w:p>
    <w:p w:rsidR="009B6D0D" w:rsidRDefault="009B6D0D" w:rsidP="009B6D0D">
      <w:pPr>
        <w:spacing w:line="360" w:lineRule="auto"/>
        <w:jc w:val="both"/>
        <w:rPr>
          <w:rFonts w:asciiTheme="majorHAnsi" w:hAnsiTheme="majorHAnsi"/>
          <w:color w:val="FF0000"/>
          <w:sz w:val="20"/>
          <w:szCs w:val="20"/>
          <w:lang w:val="fr-CH"/>
        </w:rPr>
      </w:pPr>
      <w:r>
        <w:rPr>
          <w:rFonts w:asciiTheme="majorHAnsi" w:hAnsiTheme="majorHAnsi"/>
          <w:color w:val="FF0000"/>
          <w:sz w:val="20"/>
          <w:szCs w:val="20"/>
          <w:lang w:val="fr-CH"/>
        </w:rPr>
        <w:t xml:space="preserve">- </w:t>
      </w:r>
      <w:r w:rsidRPr="009B6D0D">
        <w:rPr>
          <w:rFonts w:asciiTheme="majorHAnsi" w:hAnsiTheme="majorHAnsi"/>
          <w:b/>
          <w:bCs/>
          <w:i/>
          <w:iCs/>
          <w:color w:val="FF0000"/>
          <w:sz w:val="20"/>
          <w:szCs w:val="20"/>
          <w:lang w:val="fr-CH"/>
        </w:rPr>
        <w:t>de l’éducation</w:t>
      </w:r>
      <w:r>
        <w:rPr>
          <w:rFonts w:asciiTheme="majorHAnsi" w:hAnsiTheme="majorHAnsi"/>
          <w:color w:val="FF0000"/>
          <w:sz w:val="20"/>
          <w:szCs w:val="20"/>
          <w:lang w:val="fr-CH"/>
        </w:rPr>
        <w:t> : les taux d’alphabétisation, de scolarisation et d’établissement scolaires par 1000 habitants sont, respectivement</w:t>
      </w:r>
      <w:r w:rsidR="009D06F2">
        <w:rPr>
          <w:rFonts w:asciiTheme="majorHAnsi" w:hAnsiTheme="majorHAnsi"/>
          <w:color w:val="FF0000"/>
          <w:sz w:val="20"/>
          <w:szCs w:val="20"/>
          <w:lang w:val="fr-CH"/>
        </w:rPr>
        <w:t>,</w:t>
      </w:r>
      <w:r>
        <w:rPr>
          <w:rFonts w:asciiTheme="majorHAnsi" w:hAnsiTheme="majorHAnsi"/>
          <w:color w:val="FF0000"/>
          <w:sz w:val="20"/>
          <w:szCs w:val="20"/>
          <w:lang w:val="fr-CH"/>
        </w:rPr>
        <w:t xml:space="preserve"> de 65</w:t>
      </w:r>
      <w:r w:rsidR="009D06F2">
        <w:rPr>
          <w:rFonts w:asciiTheme="majorHAnsi" w:hAnsiTheme="majorHAnsi"/>
          <w:color w:val="FF0000"/>
          <w:sz w:val="20"/>
          <w:szCs w:val="20"/>
          <w:lang w:val="fr-CH"/>
        </w:rPr>
        <w:t> </w:t>
      </w:r>
      <w:r>
        <w:rPr>
          <w:rFonts w:asciiTheme="majorHAnsi" w:hAnsiTheme="majorHAnsi"/>
          <w:color w:val="FF0000"/>
          <w:sz w:val="20"/>
          <w:szCs w:val="20"/>
          <w:lang w:val="fr-CH"/>
        </w:rPr>
        <w:t>%, 83</w:t>
      </w:r>
      <w:r w:rsidR="009D06F2">
        <w:rPr>
          <w:rFonts w:asciiTheme="majorHAnsi" w:hAnsiTheme="majorHAnsi"/>
          <w:color w:val="FF0000"/>
          <w:sz w:val="20"/>
          <w:szCs w:val="20"/>
          <w:lang w:val="fr-CH"/>
        </w:rPr>
        <w:t> </w:t>
      </w:r>
      <w:r>
        <w:rPr>
          <w:rFonts w:asciiTheme="majorHAnsi" w:hAnsiTheme="majorHAnsi"/>
          <w:color w:val="FF0000"/>
          <w:sz w:val="20"/>
          <w:szCs w:val="20"/>
          <w:lang w:val="fr-CH"/>
        </w:rPr>
        <w:t>% et 0.3 pour le Sahara, alors que la moyenne nationale et de 57</w:t>
      </w:r>
      <w:r w:rsidR="009D06F2">
        <w:rPr>
          <w:rFonts w:asciiTheme="majorHAnsi" w:hAnsiTheme="majorHAnsi"/>
          <w:color w:val="FF0000"/>
          <w:sz w:val="20"/>
          <w:szCs w:val="20"/>
          <w:lang w:val="fr-CH"/>
        </w:rPr>
        <w:t> </w:t>
      </w:r>
      <w:r>
        <w:rPr>
          <w:rFonts w:asciiTheme="majorHAnsi" w:hAnsiTheme="majorHAnsi"/>
          <w:color w:val="FF0000"/>
          <w:sz w:val="20"/>
          <w:szCs w:val="20"/>
          <w:lang w:val="fr-CH"/>
        </w:rPr>
        <w:t>% pour le taux d’alphabétisation, 62</w:t>
      </w:r>
      <w:r w:rsidR="009D06F2">
        <w:rPr>
          <w:rFonts w:asciiTheme="majorHAnsi" w:hAnsiTheme="majorHAnsi"/>
          <w:color w:val="FF0000"/>
          <w:sz w:val="20"/>
          <w:szCs w:val="20"/>
          <w:lang w:val="fr-CH"/>
        </w:rPr>
        <w:t> </w:t>
      </w:r>
      <w:r>
        <w:rPr>
          <w:rFonts w:asciiTheme="majorHAnsi" w:hAnsiTheme="majorHAnsi"/>
          <w:color w:val="FF0000"/>
          <w:sz w:val="20"/>
          <w:szCs w:val="20"/>
          <w:lang w:val="fr-CH"/>
        </w:rPr>
        <w:t>% pour le taux de scolarisation et 0.2 établissement scolaire par 1000 habitants.</w:t>
      </w:r>
    </w:p>
    <w:p w:rsidR="00C57D8C" w:rsidRDefault="00C57D8C" w:rsidP="009B6D0D">
      <w:pPr>
        <w:spacing w:line="360" w:lineRule="auto"/>
        <w:jc w:val="both"/>
        <w:rPr>
          <w:rFonts w:asciiTheme="majorHAnsi" w:hAnsiTheme="majorHAnsi"/>
          <w:color w:val="FF0000"/>
          <w:sz w:val="20"/>
          <w:szCs w:val="20"/>
          <w:lang w:val="fr-CH"/>
        </w:rPr>
      </w:pPr>
      <w:r>
        <w:rPr>
          <w:rFonts w:asciiTheme="majorHAnsi" w:hAnsiTheme="majorHAnsi"/>
          <w:color w:val="FF0000"/>
          <w:sz w:val="20"/>
          <w:szCs w:val="20"/>
          <w:lang w:val="fr-CH"/>
        </w:rPr>
        <w:t xml:space="preserve">- </w:t>
      </w:r>
      <w:r w:rsidR="002614F5" w:rsidRPr="002614F5">
        <w:rPr>
          <w:rFonts w:asciiTheme="majorHAnsi" w:hAnsiTheme="majorHAnsi"/>
          <w:b/>
          <w:bCs/>
          <w:i/>
          <w:iCs/>
          <w:color w:val="FF0000"/>
          <w:sz w:val="20"/>
          <w:szCs w:val="20"/>
          <w:lang w:val="fr-CH"/>
        </w:rPr>
        <w:t xml:space="preserve">de </w:t>
      </w:r>
      <w:r w:rsidRPr="009B6D0D">
        <w:rPr>
          <w:rFonts w:asciiTheme="majorHAnsi" w:hAnsiTheme="majorHAnsi"/>
          <w:b/>
          <w:bCs/>
          <w:i/>
          <w:iCs/>
          <w:color w:val="FF0000"/>
          <w:sz w:val="20"/>
          <w:szCs w:val="20"/>
          <w:lang w:val="fr-CH"/>
        </w:rPr>
        <w:t>l’eau potable</w:t>
      </w:r>
      <w:r w:rsidR="009B6D0D">
        <w:rPr>
          <w:rFonts w:asciiTheme="majorHAnsi" w:hAnsiTheme="majorHAnsi"/>
          <w:color w:val="FF0000"/>
          <w:sz w:val="20"/>
          <w:szCs w:val="20"/>
          <w:lang w:val="fr-CH"/>
        </w:rPr>
        <w:t> :</w:t>
      </w:r>
      <w:r>
        <w:rPr>
          <w:rFonts w:asciiTheme="majorHAnsi" w:hAnsiTheme="majorHAnsi"/>
          <w:color w:val="FF0000"/>
          <w:sz w:val="20"/>
          <w:szCs w:val="20"/>
          <w:lang w:val="fr-CH"/>
        </w:rPr>
        <w:t xml:space="preserve"> </w:t>
      </w:r>
      <w:r w:rsidR="002614F5">
        <w:rPr>
          <w:rFonts w:asciiTheme="majorHAnsi" w:hAnsiTheme="majorHAnsi"/>
          <w:color w:val="FF0000"/>
          <w:sz w:val="20"/>
          <w:szCs w:val="20"/>
          <w:lang w:val="fr-CH"/>
        </w:rPr>
        <w:t>l</w:t>
      </w:r>
      <w:r w:rsidR="009B6D0D">
        <w:rPr>
          <w:rFonts w:asciiTheme="majorHAnsi" w:hAnsiTheme="majorHAnsi"/>
          <w:color w:val="FF0000"/>
          <w:sz w:val="20"/>
          <w:szCs w:val="20"/>
          <w:lang w:val="fr-CH"/>
        </w:rPr>
        <w:t xml:space="preserve">e </w:t>
      </w:r>
      <w:r w:rsidR="009B6D0D" w:rsidRPr="009B6D0D">
        <w:rPr>
          <w:rFonts w:asciiTheme="majorHAnsi" w:hAnsiTheme="majorHAnsi"/>
          <w:color w:val="FF0000"/>
          <w:sz w:val="20"/>
          <w:szCs w:val="20"/>
          <w:lang w:val="fr-FR"/>
        </w:rPr>
        <w:t xml:space="preserve">taux d’accès des ménages au réseau d’eau potable </w:t>
      </w:r>
      <w:r w:rsidR="009B6D0D">
        <w:rPr>
          <w:rFonts w:asciiTheme="majorHAnsi" w:hAnsiTheme="majorHAnsi"/>
          <w:color w:val="FF0000"/>
          <w:sz w:val="20"/>
          <w:szCs w:val="20"/>
          <w:lang w:val="fr-FR"/>
        </w:rPr>
        <w:t xml:space="preserve">est </w:t>
      </w:r>
      <w:r w:rsidR="009B6D0D" w:rsidRPr="009B6D0D">
        <w:rPr>
          <w:rFonts w:asciiTheme="majorHAnsi" w:hAnsiTheme="majorHAnsi"/>
          <w:color w:val="FF0000"/>
          <w:sz w:val="20"/>
          <w:szCs w:val="20"/>
          <w:lang w:val="fr-FR"/>
        </w:rPr>
        <w:t>de 90</w:t>
      </w:r>
      <w:r w:rsidR="009D06F2">
        <w:rPr>
          <w:rFonts w:asciiTheme="majorHAnsi" w:hAnsiTheme="majorHAnsi"/>
          <w:color w:val="FF0000"/>
          <w:sz w:val="20"/>
          <w:szCs w:val="20"/>
          <w:lang w:val="fr-FR"/>
        </w:rPr>
        <w:t> </w:t>
      </w:r>
      <w:r w:rsidR="009B6D0D" w:rsidRPr="009B6D0D">
        <w:rPr>
          <w:rFonts w:asciiTheme="majorHAnsi" w:hAnsiTheme="majorHAnsi"/>
          <w:color w:val="FF0000"/>
          <w:sz w:val="20"/>
          <w:szCs w:val="20"/>
          <w:lang w:val="fr-FR"/>
        </w:rPr>
        <w:t>%</w:t>
      </w:r>
      <w:r w:rsidR="009B6D0D">
        <w:rPr>
          <w:rFonts w:asciiTheme="majorHAnsi" w:hAnsiTheme="majorHAnsi"/>
          <w:color w:val="FF0000"/>
          <w:sz w:val="20"/>
          <w:szCs w:val="20"/>
          <w:lang w:val="fr-FR"/>
        </w:rPr>
        <w:t xml:space="preserve"> dans la région du Sahara</w:t>
      </w:r>
      <w:r w:rsidR="009B6D0D" w:rsidRPr="009B6D0D">
        <w:rPr>
          <w:rFonts w:asciiTheme="majorHAnsi" w:hAnsiTheme="majorHAnsi"/>
          <w:color w:val="FF0000"/>
          <w:sz w:val="20"/>
          <w:szCs w:val="20"/>
          <w:lang w:val="fr-FR"/>
        </w:rPr>
        <w:t>,</w:t>
      </w:r>
      <w:r w:rsidR="009B6D0D">
        <w:rPr>
          <w:rFonts w:asciiTheme="majorHAnsi" w:hAnsiTheme="majorHAnsi"/>
          <w:color w:val="FF0000"/>
          <w:sz w:val="20"/>
          <w:szCs w:val="20"/>
          <w:lang w:val="fr-FR"/>
        </w:rPr>
        <w:t xml:space="preserve"> ce qui est</w:t>
      </w:r>
      <w:r w:rsidR="009B6D0D" w:rsidRPr="009B6D0D">
        <w:rPr>
          <w:rFonts w:asciiTheme="majorHAnsi" w:hAnsiTheme="majorHAnsi"/>
          <w:color w:val="FF0000"/>
          <w:sz w:val="20"/>
          <w:szCs w:val="20"/>
          <w:lang w:val="fr-FR"/>
        </w:rPr>
        <w:t xml:space="preserve"> supérieur </w:t>
      </w:r>
      <w:r w:rsidR="009B6D0D">
        <w:rPr>
          <w:rFonts w:asciiTheme="majorHAnsi" w:hAnsiTheme="majorHAnsi"/>
          <w:color w:val="FF0000"/>
          <w:sz w:val="20"/>
          <w:szCs w:val="20"/>
          <w:lang w:val="fr-FR"/>
        </w:rPr>
        <w:t>à</w:t>
      </w:r>
      <w:r w:rsidR="009B6D0D" w:rsidRPr="009B6D0D">
        <w:rPr>
          <w:rFonts w:asciiTheme="majorHAnsi" w:hAnsiTheme="majorHAnsi"/>
          <w:color w:val="FF0000"/>
          <w:sz w:val="20"/>
          <w:szCs w:val="20"/>
          <w:lang w:val="fr-FR"/>
        </w:rPr>
        <w:t xml:space="preserve"> la moyenne nationale</w:t>
      </w:r>
      <w:r w:rsidR="009B6D0D">
        <w:rPr>
          <w:rFonts w:asciiTheme="majorHAnsi" w:hAnsiTheme="majorHAnsi"/>
          <w:color w:val="FF0000"/>
          <w:sz w:val="20"/>
          <w:szCs w:val="20"/>
          <w:lang w:val="fr-FR"/>
        </w:rPr>
        <w:t xml:space="preserve"> de </w:t>
      </w:r>
      <w:r w:rsidR="009B6D0D" w:rsidRPr="009B6D0D">
        <w:rPr>
          <w:rFonts w:asciiTheme="majorHAnsi" w:hAnsiTheme="majorHAnsi"/>
          <w:color w:val="FF0000"/>
          <w:sz w:val="20"/>
          <w:szCs w:val="20"/>
          <w:lang w:val="fr-FR"/>
        </w:rPr>
        <w:t>5</w:t>
      </w:r>
      <w:r w:rsidR="009B6D0D">
        <w:rPr>
          <w:rFonts w:asciiTheme="majorHAnsi" w:hAnsiTheme="majorHAnsi"/>
          <w:color w:val="FF0000"/>
          <w:sz w:val="20"/>
          <w:szCs w:val="20"/>
          <w:lang w:val="fr-FR"/>
        </w:rPr>
        <w:t>5</w:t>
      </w:r>
      <w:r w:rsidR="009D06F2">
        <w:rPr>
          <w:rFonts w:asciiTheme="majorHAnsi" w:hAnsiTheme="majorHAnsi"/>
          <w:color w:val="FF0000"/>
          <w:sz w:val="20"/>
          <w:szCs w:val="20"/>
          <w:lang w:val="fr-FR"/>
        </w:rPr>
        <w:t> </w:t>
      </w:r>
      <w:r w:rsidR="009B6D0D" w:rsidRPr="009B6D0D">
        <w:rPr>
          <w:rFonts w:asciiTheme="majorHAnsi" w:hAnsiTheme="majorHAnsi"/>
          <w:color w:val="FF0000"/>
          <w:sz w:val="20"/>
          <w:szCs w:val="20"/>
          <w:lang w:val="fr-FR"/>
        </w:rPr>
        <w:t>%.</w:t>
      </w:r>
      <w:r w:rsidR="009B6D0D">
        <w:rPr>
          <w:rFonts w:asciiTheme="majorHAnsi" w:hAnsiTheme="majorHAnsi"/>
          <w:color w:val="FF0000"/>
          <w:sz w:val="20"/>
          <w:szCs w:val="20"/>
          <w:lang w:val="fr-FR"/>
        </w:rPr>
        <w:t xml:space="preserve"> Ce taux a été obtenu grâce à un investissement de plus de 800 </w:t>
      </w:r>
      <w:r w:rsidR="009D06F2">
        <w:rPr>
          <w:rFonts w:asciiTheme="majorHAnsi" w:hAnsiTheme="majorHAnsi"/>
          <w:color w:val="FF0000"/>
          <w:sz w:val="20"/>
          <w:szCs w:val="20"/>
          <w:lang w:val="fr-FR"/>
        </w:rPr>
        <w:t>m</w:t>
      </w:r>
      <w:r w:rsidR="009B6D0D">
        <w:rPr>
          <w:rFonts w:asciiTheme="majorHAnsi" w:hAnsiTheme="majorHAnsi"/>
          <w:color w:val="FF0000"/>
          <w:sz w:val="20"/>
          <w:szCs w:val="20"/>
          <w:lang w:val="fr-FR"/>
        </w:rPr>
        <w:t xml:space="preserve">illions de </w:t>
      </w:r>
      <w:r w:rsidR="009D06F2">
        <w:rPr>
          <w:rFonts w:asciiTheme="majorHAnsi" w:hAnsiTheme="majorHAnsi"/>
          <w:color w:val="FF0000"/>
          <w:sz w:val="20"/>
          <w:szCs w:val="20"/>
          <w:lang w:val="fr-FR"/>
        </w:rPr>
        <w:t>d</w:t>
      </w:r>
      <w:r w:rsidR="009B6D0D">
        <w:rPr>
          <w:rFonts w:asciiTheme="majorHAnsi" w:hAnsiTheme="majorHAnsi"/>
          <w:color w:val="FF0000"/>
          <w:sz w:val="20"/>
          <w:szCs w:val="20"/>
          <w:lang w:val="fr-FR"/>
        </w:rPr>
        <w:t xml:space="preserve">ollars </w:t>
      </w:r>
      <w:r w:rsidR="009D06F2">
        <w:rPr>
          <w:rFonts w:asciiTheme="majorHAnsi" w:hAnsiTheme="majorHAnsi"/>
          <w:color w:val="FF0000"/>
          <w:sz w:val="20"/>
          <w:szCs w:val="20"/>
          <w:lang w:val="fr-FR"/>
        </w:rPr>
        <w:t>E-</w:t>
      </w:r>
      <w:r w:rsidR="009B6D0D">
        <w:rPr>
          <w:rFonts w:asciiTheme="majorHAnsi" w:hAnsiTheme="majorHAnsi"/>
          <w:color w:val="FF0000"/>
          <w:sz w:val="20"/>
          <w:szCs w:val="20"/>
          <w:lang w:val="fr-FR"/>
        </w:rPr>
        <w:t xml:space="preserve">U, notamment en termes de </w:t>
      </w:r>
      <w:r>
        <w:rPr>
          <w:rFonts w:asciiTheme="majorHAnsi" w:hAnsiTheme="majorHAnsi"/>
          <w:color w:val="FF0000"/>
          <w:sz w:val="20"/>
          <w:szCs w:val="20"/>
          <w:lang w:val="fr-CH"/>
        </w:rPr>
        <w:t xml:space="preserve">barrages, </w:t>
      </w:r>
      <w:r w:rsidR="009B6D0D">
        <w:rPr>
          <w:rFonts w:asciiTheme="majorHAnsi" w:hAnsiTheme="majorHAnsi"/>
          <w:color w:val="FF0000"/>
          <w:sz w:val="20"/>
          <w:szCs w:val="20"/>
          <w:lang w:val="fr-CH"/>
        </w:rPr>
        <w:t>d’</w:t>
      </w:r>
      <w:r>
        <w:rPr>
          <w:rFonts w:asciiTheme="majorHAnsi" w:hAnsiTheme="majorHAnsi"/>
          <w:color w:val="FF0000"/>
          <w:sz w:val="20"/>
          <w:szCs w:val="20"/>
          <w:lang w:val="fr-CH"/>
        </w:rPr>
        <w:t>unités d’adduction en eau potable et de dessalement de l’eau de mer</w:t>
      </w:r>
      <w:r w:rsidR="009D06F2">
        <w:rPr>
          <w:rFonts w:asciiTheme="majorHAnsi" w:hAnsiTheme="majorHAnsi"/>
          <w:color w:val="FF0000"/>
          <w:sz w:val="20"/>
          <w:szCs w:val="20"/>
          <w:lang w:val="fr-CH"/>
        </w:rPr>
        <w:t> :</w:t>
      </w:r>
    </w:p>
    <w:p w:rsidR="002614F5" w:rsidRPr="009B6D0D" w:rsidRDefault="00C57D8C" w:rsidP="002614F5">
      <w:pPr>
        <w:spacing w:line="360" w:lineRule="auto"/>
        <w:jc w:val="both"/>
        <w:rPr>
          <w:rFonts w:asciiTheme="majorHAnsi" w:hAnsiTheme="majorHAnsi"/>
          <w:color w:val="FF0000"/>
          <w:sz w:val="20"/>
          <w:szCs w:val="20"/>
          <w:lang w:val="fr-FR"/>
        </w:rPr>
      </w:pPr>
      <w:r>
        <w:rPr>
          <w:rFonts w:asciiTheme="majorHAnsi" w:hAnsiTheme="majorHAnsi"/>
          <w:color w:val="FF0000"/>
          <w:sz w:val="20"/>
          <w:szCs w:val="20"/>
          <w:lang w:val="fr-CH"/>
        </w:rPr>
        <w:t xml:space="preserve">- </w:t>
      </w:r>
      <w:r w:rsidR="002614F5" w:rsidRPr="002614F5">
        <w:rPr>
          <w:rFonts w:asciiTheme="majorHAnsi" w:hAnsiTheme="majorHAnsi"/>
          <w:b/>
          <w:bCs/>
          <w:i/>
          <w:iCs/>
          <w:color w:val="FF0000"/>
          <w:sz w:val="20"/>
          <w:szCs w:val="20"/>
          <w:lang w:val="fr-CH"/>
        </w:rPr>
        <w:t xml:space="preserve">de </w:t>
      </w:r>
      <w:r w:rsidRPr="009B6D0D">
        <w:rPr>
          <w:rFonts w:asciiTheme="majorHAnsi" w:hAnsiTheme="majorHAnsi"/>
          <w:b/>
          <w:bCs/>
          <w:i/>
          <w:iCs/>
          <w:color w:val="FF0000"/>
          <w:sz w:val="20"/>
          <w:szCs w:val="20"/>
          <w:lang w:val="fr-CH"/>
        </w:rPr>
        <w:t>l’électricité</w:t>
      </w:r>
      <w:r>
        <w:rPr>
          <w:rFonts w:asciiTheme="majorHAnsi" w:hAnsiTheme="majorHAnsi"/>
          <w:color w:val="FF0000"/>
          <w:sz w:val="20"/>
          <w:szCs w:val="20"/>
          <w:lang w:val="fr-CH"/>
        </w:rPr>
        <w:t> :</w:t>
      </w:r>
      <w:r w:rsidR="009B6D0D">
        <w:rPr>
          <w:rFonts w:asciiTheme="majorHAnsi" w:hAnsiTheme="majorHAnsi"/>
          <w:color w:val="FF0000"/>
          <w:sz w:val="20"/>
          <w:szCs w:val="20"/>
          <w:lang w:val="fr-CH"/>
        </w:rPr>
        <w:t xml:space="preserve"> </w:t>
      </w:r>
      <w:r w:rsidR="002614F5" w:rsidRPr="002614F5">
        <w:rPr>
          <w:rFonts w:asciiTheme="majorHAnsi" w:hAnsiTheme="majorHAnsi"/>
          <w:color w:val="FF0000"/>
          <w:sz w:val="20"/>
          <w:szCs w:val="20"/>
          <w:lang w:val="fr-FR"/>
        </w:rPr>
        <w:t>95</w:t>
      </w:r>
      <w:r w:rsidR="009D06F2">
        <w:rPr>
          <w:rFonts w:asciiTheme="majorHAnsi" w:hAnsiTheme="majorHAnsi"/>
          <w:color w:val="FF0000"/>
          <w:sz w:val="20"/>
          <w:szCs w:val="20"/>
          <w:lang w:val="fr-FR"/>
        </w:rPr>
        <w:t> </w:t>
      </w:r>
      <w:r w:rsidR="002614F5" w:rsidRPr="002614F5">
        <w:rPr>
          <w:rFonts w:asciiTheme="majorHAnsi" w:hAnsiTheme="majorHAnsi"/>
          <w:color w:val="FF0000"/>
          <w:sz w:val="20"/>
          <w:szCs w:val="20"/>
          <w:lang w:val="fr-FR"/>
        </w:rPr>
        <w:t xml:space="preserve">% des ménages </w:t>
      </w:r>
      <w:r w:rsidR="002614F5">
        <w:rPr>
          <w:rFonts w:asciiTheme="majorHAnsi" w:hAnsiTheme="majorHAnsi"/>
          <w:color w:val="FF0000"/>
          <w:sz w:val="20"/>
          <w:szCs w:val="20"/>
          <w:lang w:val="fr-FR"/>
        </w:rPr>
        <w:t xml:space="preserve">de la région du Sahara </w:t>
      </w:r>
      <w:r w:rsidR="002614F5" w:rsidRPr="002614F5">
        <w:rPr>
          <w:rFonts w:asciiTheme="majorHAnsi" w:hAnsiTheme="majorHAnsi"/>
          <w:color w:val="FF0000"/>
          <w:sz w:val="20"/>
          <w:szCs w:val="20"/>
          <w:lang w:val="fr-FR"/>
        </w:rPr>
        <w:t>sont raccordés au réseau électrique</w:t>
      </w:r>
      <w:r w:rsidR="002614F5">
        <w:rPr>
          <w:rFonts w:asciiTheme="majorHAnsi" w:hAnsiTheme="majorHAnsi"/>
          <w:color w:val="FF0000"/>
          <w:sz w:val="20"/>
          <w:szCs w:val="20"/>
          <w:lang w:val="fr-FR"/>
        </w:rPr>
        <w:t xml:space="preserve">, </w:t>
      </w:r>
      <w:r w:rsidR="00DC355B">
        <w:rPr>
          <w:rFonts w:asciiTheme="majorHAnsi" w:hAnsiTheme="majorHAnsi"/>
          <w:color w:val="FF0000"/>
          <w:sz w:val="20"/>
          <w:szCs w:val="20"/>
          <w:lang w:val="fr-FR"/>
        </w:rPr>
        <w:t xml:space="preserve">grâce </w:t>
      </w:r>
      <w:r w:rsidR="002614F5">
        <w:rPr>
          <w:rFonts w:asciiTheme="majorHAnsi" w:hAnsiTheme="majorHAnsi"/>
          <w:color w:val="FF0000"/>
          <w:sz w:val="20"/>
          <w:szCs w:val="20"/>
          <w:lang w:val="fr-FR"/>
        </w:rPr>
        <w:t xml:space="preserve">à 570 </w:t>
      </w:r>
      <w:r w:rsidR="009D06F2">
        <w:rPr>
          <w:rFonts w:asciiTheme="majorHAnsi" w:hAnsiTheme="majorHAnsi"/>
          <w:color w:val="FF0000"/>
          <w:sz w:val="20"/>
          <w:szCs w:val="20"/>
          <w:lang w:val="fr-FR"/>
        </w:rPr>
        <w:t>m</w:t>
      </w:r>
      <w:r w:rsidR="002614F5">
        <w:rPr>
          <w:rFonts w:asciiTheme="majorHAnsi" w:hAnsiTheme="majorHAnsi"/>
          <w:color w:val="FF0000"/>
          <w:sz w:val="20"/>
          <w:szCs w:val="20"/>
          <w:lang w:val="fr-FR"/>
        </w:rPr>
        <w:t xml:space="preserve">illions de </w:t>
      </w:r>
      <w:r w:rsidR="009D06F2">
        <w:rPr>
          <w:rFonts w:asciiTheme="majorHAnsi" w:hAnsiTheme="majorHAnsi"/>
          <w:color w:val="FF0000"/>
          <w:sz w:val="20"/>
          <w:szCs w:val="20"/>
          <w:lang w:val="fr-FR"/>
        </w:rPr>
        <w:t>d</w:t>
      </w:r>
      <w:r w:rsidR="002614F5">
        <w:rPr>
          <w:rFonts w:asciiTheme="majorHAnsi" w:hAnsiTheme="majorHAnsi"/>
          <w:color w:val="FF0000"/>
          <w:sz w:val="20"/>
          <w:szCs w:val="20"/>
          <w:lang w:val="fr-FR"/>
        </w:rPr>
        <w:t xml:space="preserve">ollars </w:t>
      </w:r>
      <w:r w:rsidR="009D06F2">
        <w:rPr>
          <w:rFonts w:asciiTheme="majorHAnsi" w:hAnsiTheme="majorHAnsi"/>
          <w:color w:val="FF0000"/>
          <w:sz w:val="20"/>
          <w:szCs w:val="20"/>
          <w:lang w:val="fr-FR"/>
        </w:rPr>
        <w:t>E-</w:t>
      </w:r>
      <w:r w:rsidR="002614F5">
        <w:rPr>
          <w:rFonts w:asciiTheme="majorHAnsi" w:hAnsiTheme="majorHAnsi"/>
          <w:color w:val="FF0000"/>
          <w:sz w:val="20"/>
          <w:szCs w:val="20"/>
          <w:lang w:val="fr-FR"/>
        </w:rPr>
        <w:t xml:space="preserve">U, notamment dans le raccordement, les </w:t>
      </w:r>
      <w:r w:rsidR="002614F5" w:rsidRPr="002614F5">
        <w:rPr>
          <w:rFonts w:asciiTheme="majorHAnsi" w:hAnsiTheme="majorHAnsi"/>
          <w:color w:val="FF0000"/>
          <w:sz w:val="20"/>
          <w:szCs w:val="20"/>
          <w:lang w:val="fr-FR"/>
        </w:rPr>
        <w:t>centrales d</w:t>
      </w:r>
      <w:r w:rsidR="002614F5">
        <w:rPr>
          <w:rFonts w:asciiTheme="majorHAnsi" w:hAnsiTheme="majorHAnsi"/>
          <w:color w:val="FF0000"/>
          <w:sz w:val="20"/>
          <w:szCs w:val="20"/>
          <w:lang w:val="fr-FR"/>
        </w:rPr>
        <w:t xml:space="preserve">e production </w:t>
      </w:r>
      <w:r w:rsidR="002614F5" w:rsidRPr="002614F5">
        <w:rPr>
          <w:rFonts w:asciiTheme="majorHAnsi" w:hAnsiTheme="majorHAnsi"/>
          <w:color w:val="FF0000"/>
          <w:sz w:val="20"/>
          <w:szCs w:val="20"/>
          <w:lang w:val="fr-FR"/>
        </w:rPr>
        <w:t>d’électricité</w:t>
      </w:r>
      <w:r w:rsidR="002614F5">
        <w:rPr>
          <w:rFonts w:asciiTheme="majorHAnsi" w:hAnsiTheme="majorHAnsi"/>
          <w:color w:val="FF0000"/>
          <w:sz w:val="20"/>
          <w:szCs w:val="20"/>
          <w:lang w:val="fr-FR"/>
        </w:rPr>
        <w:t>, ainsi que les c</w:t>
      </w:r>
      <w:r w:rsidR="002614F5" w:rsidRPr="002614F5">
        <w:rPr>
          <w:rFonts w:asciiTheme="majorHAnsi" w:hAnsiTheme="majorHAnsi"/>
          <w:color w:val="FF0000"/>
          <w:sz w:val="20"/>
          <w:szCs w:val="20"/>
          <w:lang w:val="fr-FR"/>
        </w:rPr>
        <w:t>entrale</w:t>
      </w:r>
      <w:r w:rsidR="002614F5">
        <w:rPr>
          <w:rFonts w:asciiTheme="majorHAnsi" w:hAnsiTheme="majorHAnsi"/>
          <w:color w:val="FF0000"/>
          <w:sz w:val="20"/>
          <w:szCs w:val="20"/>
          <w:lang w:val="fr-FR"/>
        </w:rPr>
        <w:t>s</w:t>
      </w:r>
      <w:r w:rsidR="002614F5" w:rsidRPr="002614F5">
        <w:rPr>
          <w:rFonts w:asciiTheme="majorHAnsi" w:hAnsiTheme="majorHAnsi"/>
          <w:color w:val="FF0000"/>
          <w:sz w:val="20"/>
          <w:szCs w:val="20"/>
          <w:lang w:val="fr-FR"/>
        </w:rPr>
        <w:t xml:space="preserve"> éolienne</w:t>
      </w:r>
      <w:r w:rsidR="002614F5">
        <w:rPr>
          <w:rFonts w:asciiTheme="majorHAnsi" w:hAnsiTheme="majorHAnsi"/>
          <w:color w:val="FF0000"/>
          <w:sz w:val="20"/>
          <w:szCs w:val="20"/>
          <w:lang w:val="fr-FR"/>
        </w:rPr>
        <w:t>s et solaires.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i/>
          <w:sz w:val="20"/>
          <w:szCs w:val="20"/>
          <w:lang w:val="fr-CH"/>
        </w:rPr>
      </w:pPr>
      <w:r w:rsidRPr="00D91731">
        <w:rPr>
          <w:rFonts w:asciiTheme="majorHAnsi" w:hAnsiTheme="majorHAnsi"/>
          <w:i/>
          <w:sz w:val="20"/>
          <w:szCs w:val="20"/>
          <w:lang w:val="fr-CH"/>
        </w:rPr>
        <w:t>C. Inadéquation entre les compétences provinciales et les revenus disponibles (déséquilibre fiscal)</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La notion du déséquilibre fiscal est entrée sur la scène politique canadienne au cours de la dernière décennie et elle a donné lieu à plusieurs rebondissements. Au Québec, la Commission Séguin sur le déséquilibre fiscal, créée en 2001, a donné le ton dans son rapport publié en 2002 en illustrant clairement que les ressources financières sont à Ottawa alors que les besoins sont dans les provinces.  Ce rapport confirme les résultats auxquels arrive le </w:t>
      </w:r>
      <w:proofErr w:type="spellStart"/>
      <w:r w:rsidRPr="00D91731">
        <w:rPr>
          <w:rFonts w:asciiTheme="majorHAnsi" w:hAnsiTheme="majorHAnsi"/>
          <w:i/>
          <w:sz w:val="20"/>
          <w:szCs w:val="20"/>
          <w:lang w:val="fr-CH"/>
        </w:rPr>
        <w:t>Conference</w:t>
      </w:r>
      <w:proofErr w:type="spellEnd"/>
      <w:r w:rsidRPr="00D91731">
        <w:rPr>
          <w:rFonts w:asciiTheme="majorHAnsi" w:hAnsiTheme="majorHAnsi"/>
          <w:i/>
          <w:sz w:val="20"/>
          <w:szCs w:val="20"/>
          <w:lang w:val="fr-CH"/>
        </w:rPr>
        <w:t xml:space="preserve"> </w:t>
      </w:r>
      <w:proofErr w:type="spellStart"/>
      <w:r w:rsidRPr="00D91731">
        <w:rPr>
          <w:rFonts w:asciiTheme="majorHAnsi" w:hAnsiTheme="majorHAnsi"/>
          <w:i/>
          <w:sz w:val="20"/>
          <w:szCs w:val="20"/>
          <w:lang w:val="fr-CH"/>
        </w:rPr>
        <w:t>Board</w:t>
      </w:r>
      <w:proofErr w:type="spellEnd"/>
      <w:r w:rsidRPr="00D91731">
        <w:rPr>
          <w:rFonts w:asciiTheme="majorHAnsi" w:hAnsiTheme="majorHAnsi"/>
          <w:i/>
          <w:sz w:val="20"/>
          <w:szCs w:val="20"/>
          <w:lang w:val="fr-CH"/>
        </w:rPr>
        <w:t xml:space="preserve"> of Canada</w:t>
      </w:r>
      <w:r w:rsidRPr="00D91731">
        <w:rPr>
          <w:rFonts w:asciiTheme="majorHAnsi" w:hAnsiTheme="majorHAnsi"/>
          <w:sz w:val="20"/>
          <w:szCs w:val="20"/>
          <w:lang w:val="fr-CH"/>
        </w:rPr>
        <w:t xml:space="preserve"> dans son étude publiée en août 2002 sous le titre </w:t>
      </w:r>
      <w:r w:rsidRPr="00D91731">
        <w:rPr>
          <w:rFonts w:asciiTheme="majorHAnsi" w:hAnsiTheme="majorHAnsi"/>
          <w:i/>
          <w:sz w:val="20"/>
          <w:szCs w:val="20"/>
          <w:lang w:val="fr-CH"/>
        </w:rPr>
        <w:t xml:space="preserve">Vertical Fiscal </w:t>
      </w:r>
      <w:proofErr w:type="spellStart"/>
      <w:r w:rsidRPr="00D91731">
        <w:rPr>
          <w:rFonts w:asciiTheme="majorHAnsi" w:hAnsiTheme="majorHAnsi"/>
          <w:i/>
          <w:sz w:val="20"/>
          <w:szCs w:val="20"/>
          <w:lang w:val="fr-CH"/>
        </w:rPr>
        <w:t>Imbalance</w:t>
      </w:r>
      <w:proofErr w:type="spellEnd"/>
      <w:r w:rsidRPr="00D91731">
        <w:rPr>
          <w:rFonts w:asciiTheme="majorHAnsi" w:hAnsiTheme="majorHAnsi"/>
          <w:i/>
          <w:sz w:val="20"/>
          <w:szCs w:val="20"/>
          <w:lang w:val="fr-CH"/>
        </w:rPr>
        <w:t xml:space="preserve"> : Fiscal Prospects for the </w:t>
      </w:r>
      <w:proofErr w:type="spellStart"/>
      <w:r w:rsidRPr="00D91731">
        <w:rPr>
          <w:rFonts w:asciiTheme="majorHAnsi" w:hAnsiTheme="majorHAnsi"/>
          <w:i/>
          <w:sz w:val="20"/>
          <w:szCs w:val="20"/>
          <w:lang w:val="fr-CH"/>
        </w:rPr>
        <w:t>Federal</w:t>
      </w:r>
      <w:proofErr w:type="spellEnd"/>
      <w:r w:rsidRPr="00D91731">
        <w:rPr>
          <w:rFonts w:asciiTheme="majorHAnsi" w:hAnsiTheme="majorHAnsi"/>
          <w:i/>
          <w:sz w:val="20"/>
          <w:szCs w:val="20"/>
          <w:lang w:val="fr-CH"/>
        </w:rPr>
        <w:t xml:space="preserve"> and Provincial/Territorial </w:t>
      </w:r>
      <w:proofErr w:type="spellStart"/>
      <w:r w:rsidRPr="00D91731">
        <w:rPr>
          <w:rFonts w:asciiTheme="majorHAnsi" w:hAnsiTheme="majorHAnsi"/>
          <w:i/>
          <w:sz w:val="20"/>
          <w:szCs w:val="20"/>
          <w:lang w:val="fr-CH"/>
        </w:rPr>
        <w:t>Governments</w:t>
      </w:r>
      <w:proofErr w:type="spellEnd"/>
      <w:r w:rsidRPr="00D91731">
        <w:rPr>
          <w:rFonts w:asciiTheme="majorHAnsi" w:hAnsiTheme="majorHAnsi"/>
          <w:sz w:val="20"/>
          <w:szCs w:val="20"/>
          <w:lang w:val="fr-CH"/>
        </w:rPr>
        <w:t>.</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Dans ce débat de fond, les provinces se sont alignées sur deux lignes distinctes. D’une part,  le Québec et l’Alberta exigent un nouveau partage des champs de taxation en vue de livrer les services attendus par leur population respective. D’autre part, des provinces comme celles de l’Atlantique souhaitent plutôt donner plus d’emprise au gouvernement central en lui confiant le rééquilibrage des finances publiques en empruntant la voie de la péréquation. En général, les provinces les moins riches s’intéressent à trouver une solution à la question du déficit territorial alors que le Québec et l’Alberta souhaitent atténuer le déséquilibre vertical prévalant entre les États membres et le gouvernement central. Ce rééquilibrage pourrait se faire en misant sur le transfert de certains champs d’imposition entre Ottawa et les États membres ou exigeant le transfert de points d’impôt en faveur des provinces.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 cas du Québec est plus complexe encore qu’il ne le semble à première vue puisque le gouvernement du Québec a opté de partager d’importants pans de la gouvern</w:t>
      </w:r>
      <w:r w:rsidR="001A7B69">
        <w:rPr>
          <w:rFonts w:asciiTheme="majorHAnsi" w:hAnsiTheme="majorHAnsi"/>
          <w:sz w:val="20"/>
          <w:szCs w:val="20"/>
          <w:lang w:val="fr-CH"/>
        </w:rPr>
        <w:t>anc</w:t>
      </w:r>
      <w:r w:rsidRPr="00D91731">
        <w:rPr>
          <w:rFonts w:asciiTheme="majorHAnsi" w:hAnsiTheme="majorHAnsi"/>
          <w:sz w:val="20"/>
          <w:szCs w:val="20"/>
          <w:lang w:val="fr-CH"/>
        </w:rPr>
        <w:t xml:space="preserve">e et une partie de la responsabilité relevant de la gestion des ressources du Grand Nord avec les communautés vivant sur le territoire. Voyons ce qu’il en est dans le cas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w:t>
      </w:r>
    </w:p>
    <w:p w:rsidR="001828DE" w:rsidRDefault="001828DE">
      <w:pPr>
        <w:spacing w:line="360" w:lineRule="auto"/>
        <w:rPr>
          <w:rFonts w:asciiTheme="majorHAnsi" w:hAnsiTheme="majorHAnsi"/>
          <w:sz w:val="20"/>
          <w:szCs w:val="20"/>
          <w:lang w:val="fr-CH"/>
        </w:rPr>
      </w:pPr>
    </w:p>
    <w:p w:rsidR="001828DE" w:rsidRDefault="00D91731">
      <w:pPr>
        <w:spacing w:line="360" w:lineRule="auto"/>
        <w:ind w:firstLine="708"/>
        <w:rPr>
          <w:rFonts w:asciiTheme="majorHAnsi" w:hAnsiTheme="majorHAnsi"/>
          <w:i/>
          <w:sz w:val="20"/>
          <w:szCs w:val="20"/>
          <w:lang w:val="fr-CH"/>
        </w:rPr>
      </w:pPr>
      <w:r w:rsidRPr="00D91731">
        <w:rPr>
          <w:rFonts w:asciiTheme="majorHAnsi" w:hAnsiTheme="majorHAnsi"/>
          <w:i/>
          <w:sz w:val="20"/>
          <w:szCs w:val="20"/>
          <w:lang w:val="fr-CH"/>
        </w:rPr>
        <w:t xml:space="preserve">Le </w:t>
      </w:r>
      <w:proofErr w:type="spellStart"/>
      <w:r w:rsidRPr="00D91731">
        <w:rPr>
          <w:rFonts w:asciiTheme="majorHAnsi" w:hAnsiTheme="majorHAnsi"/>
          <w:i/>
          <w:sz w:val="20"/>
          <w:szCs w:val="20"/>
          <w:lang w:val="fr-CH"/>
        </w:rPr>
        <w:t>Nunavik</w:t>
      </w:r>
      <w:proofErr w:type="spellEnd"/>
      <w:r w:rsidRPr="00D91731">
        <w:rPr>
          <w:rFonts w:asciiTheme="majorHAnsi" w:hAnsiTheme="majorHAnsi"/>
          <w:i/>
          <w:sz w:val="20"/>
          <w:szCs w:val="20"/>
          <w:lang w:val="fr-CH"/>
        </w:rPr>
        <w:t> : un sous-ensemble du territoire québécois</w:t>
      </w:r>
    </w:p>
    <w:p w:rsidR="001828DE" w:rsidRDefault="001828DE">
      <w:pPr>
        <w:spacing w:line="360" w:lineRule="auto"/>
        <w:rPr>
          <w:rFonts w:asciiTheme="majorHAnsi" w:hAnsiTheme="majorHAnsi"/>
          <w:sz w:val="20"/>
          <w:szCs w:val="20"/>
          <w:lang w:val="fr-CH"/>
        </w:rPr>
      </w:pPr>
    </w:p>
    <w:p w:rsidR="001828DE" w:rsidRDefault="00D91731">
      <w:pPr>
        <w:spacing w:line="360" w:lineRule="auto"/>
        <w:jc w:val="both"/>
        <w:rPr>
          <w:rFonts w:asciiTheme="majorHAnsi" w:hAnsiTheme="majorHAnsi"/>
          <w:b/>
          <w:sz w:val="20"/>
          <w:szCs w:val="20"/>
          <w:lang w:val="fr-CH"/>
        </w:rPr>
      </w:pPr>
      <w:r w:rsidRPr="00D91731">
        <w:rPr>
          <w:rFonts w:asciiTheme="majorHAnsi" w:hAnsiTheme="majorHAnsi"/>
          <w:b/>
          <w:sz w:val="20"/>
          <w:szCs w:val="20"/>
          <w:lang w:val="fr-CH"/>
        </w:rPr>
        <w:t xml:space="preserve">Le </w:t>
      </w:r>
      <w:proofErr w:type="spellStart"/>
      <w:r w:rsidRPr="00D91731">
        <w:rPr>
          <w:rFonts w:asciiTheme="majorHAnsi" w:hAnsiTheme="majorHAnsi"/>
          <w:b/>
          <w:sz w:val="20"/>
          <w:szCs w:val="20"/>
          <w:lang w:val="fr-CH"/>
        </w:rPr>
        <w:t>Nunavik</w:t>
      </w:r>
      <w:proofErr w:type="spellEnd"/>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Superficie : 500 000 km², territoire situé au nord du 55</w:t>
      </w:r>
      <w:r w:rsidRPr="00D91731">
        <w:rPr>
          <w:rFonts w:asciiTheme="majorHAnsi" w:hAnsiTheme="majorHAnsi"/>
          <w:sz w:val="20"/>
          <w:szCs w:val="20"/>
          <w:vertAlign w:val="superscript"/>
          <w:lang w:val="fr-CH"/>
        </w:rPr>
        <w:t>e</w:t>
      </w:r>
      <w:r w:rsidRPr="00D91731">
        <w:rPr>
          <w:rFonts w:asciiTheme="majorHAnsi" w:hAnsiTheme="majorHAnsi"/>
          <w:sz w:val="20"/>
          <w:szCs w:val="20"/>
          <w:lang w:val="fr-CH"/>
        </w:rPr>
        <w:t xml:space="preserve"> parallèle</w:t>
      </w: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Population : environ 11 000, composée à 90 % d’Inuits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est un vaste territoire situé au nord du 55</w:t>
      </w:r>
      <w:r w:rsidRPr="00D91731">
        <w:rPr>
          <w:rFonts w:asciiTheme="majorHAnsi" w:hAnsiTheme="majorHAnsi"/>
          <w:sz w:val="20"/>
          <w:szCs w:val="20"/>
          <w:vertAlign w:val="superscript"/>
          <w:lang w:val="fr-CH"/>
        </w:rPr>
        <w:t>e</w:t>
      </w:r>
      <w:r w:rsidRPr="00D91731">
        <w:rPr>
          <w:rFonts w:asciiTheme="majorHAnsi" w:hAnsiTheme="majorHAnsi"/>
          <w:sz w:val="20"/>
          <w:szCs w:val="20"/>
          <w:lang w:val="fr-CH"/>
        </w:rPr>
        <w:t xml:space="preserve"> parallèle dont les limites ont été établies par la Convention de la Baie-James et du Nord québécois en 1975. La population </w:t>
      </w:r>
      <w:proofErr w:type="spellStart"/>
      <w:r w:rsidRPr="00D91731">
        <w:rPr>
          <w:rFonts w:asciiTheme="majorHAnsi" w:hAnsiTheme="majorHAnsi"/>
          <w:sz w:val="20"/>
          <w:szCs w:val="20"/>
          <w:lang w:val="fr-CH"/>
        </w:rPr>
        <w:t>inuite</w:t>
      </w:r>
      <w:proofErr w:type="spellEnd"/>
      <w:r w:rsidRPr="00D91731">
        <w:rPr>
          <w:rFonts w:asciiTheme="majorHAnsi" w:hAnsiTheme="majorHAnsi"/>
          <w:sz w:val="20"/>
          <w:szCs w:val="20"/>
          <w:lang w:val="fr-CH"/>
        </w:rPr>
        <w:t xml:space="preserve"> vivant sur ce territoire est évaluée à 11 000 habitants et elle est répartie dans une quinzaine de communautés en pleine croissance démographique. Jusqu’au début des années 1960, ce fut l’administration fédérale (Ottawa) qui a assumé les principales responsabilités sur ce territoire. Ce vaste espace nordique a été tardivement investi par les gouvernements fédéral et provincial. L’armée canadienne, la </w:t>
      </w:r>
      <w:r w:rsidR="001A7B69">
        <w:rPr>
          <w:rFonts w:asciiTheme="majorHAnsi" w:hAnsiTheme="majorHAnsi"/>
          <w:sz w:val="20"/>
          <w:szCs w:val="20"/>
          <w:lang w:val="fr-CH"/>
        </w:rPr>
        <w:t>Gendarmerie royale du Canada (</w:t>
      </w:r>
      <w:r w:rsidRPr="00D91731">
        <w:rPr>
          <w:rFonts w:asciiTheme="majorHAnsi" w:hAnsiTheme="majorHAnsi"/>
          <w:sz w:val="20"/>
          <w:szCs w:val="20"/>
          <w:lang w:val="fr-CH"/>
        </w:rPr>
        <w:t>GRC</w:t>
      </w:r>
      <w:r w:rsidR="001A7B69">
        <w:rPr>
          <w:rFonts w:asciiTheme="majorHAnsi" w:hAnsiTheme="majorHAnsi"/>
          <w:sz w:val="20"/>
          <w:szCs w:val="20"/>
          <w:lang w:val="fr-CH"/>
        </w:rPr>
        <w:t>)</w:t>
      </w:r>
      <w:r w:rsidRPr="00D91731">
        <w:rPr>
          <w:rFonts w:asciiTheme="majorHAnsi" w:hAnsiTheme="majorHAnsi"/>
          <w:sz w:val="20"/>
          <w:szCs w:val="20"/>
          <w:lang w:val="fr-CH"/>
        </w:rPr>
        <w:t xml:space="preserve"> puis les fonctionnaires du ministère des Affaires indiennes ont commencé à y exercer une présence dans la foulée de la Deuxième Guerre mondiale. Le gouvernement du Québec s’est éveillé </w:t>
      </w:r>
      <w:r w:rsidR="001A7B69">
        <w:rPr>
          <w:rFonts w:asciiTheme="majorHAnsi" w:hAnsiTheme="majorHAnsi"/>
          <w:sz w:val="20"/>
          <w:szCs w:val="20"/>
          <w:lang w:val="fr-CH"/>
        </w:rPr>
        <w:t>à</w:t>
      </w:r>
      <w:r w:rsidRPr="00D91731">
        <w:rPr>
          <w:rFonts w:asciiTheme="majorHAnsi" w:hAnsiTheme="majorHAnsi"/>
          <w:sz w:val="20"/>
          <w:szCs w:val="20"/>
          <w:lang w:val="fr-CH"/>
        </w:rPr>
        <w:t xml:space="preserve"> ses responsabilités au début des années 1960. Puis, à la suite de tractations entre les gouvernements de Québec et d’Ottawa, le gouvernement du Québec en est venu à exercer sa pleine autorité sur la région en prenant graduellement le relais de l’administration fédérale. À compter de 1978, dans la foulée de la Convention de la Baie-James et du Nord québécois (Gagnon et Rocher, </w:t>
      </w:r>
      <w:proofErr w:type="spellStart"/>
      <w:proofErr w:type="gramStart"/>
      <w:r w:rsidRPr="00D91731">
        <w:rPr>
          <w:rFonts w:asciiTheme="majorHAnsi" w:hAnsiTheme="majorHAnsi"/>
          <w:sz w:val="20"/>
          <w:szCs w:val="20"/>
          <w:lang w:val="fr-CH"/>
        </w:rPr>
        <w:t>dir</w:t>
      </w:r>
      <w:proofErr w:type="spellEnd"/>
      <w:r w:rsidRPr="00D91731">
        <w:rPr>
          <w:rFonts w:asciiTheme="majorHAnsi" w:hAnsiTheme="majorHAnsi"/>
          <w:sz w:val="20"/>
          <w:szCs w:val="20"/>
          <w:lang w:val="fr-CH"/>
        </w:rPr>
        <w:t>.,</w:t>
      </w:r>
      <w:proofErr w:type="gramEnd"/>
      <w:r w:rsidRPr="00D91731">
        <w:rPr>
          <w:rFonts w:asciiTheme="majorHAnsi" w:hAnsiTheme="majorHAnsi"/>
          <w:sz w:val="20"/>
          <w:szCs w:val="20"/>
          <w:lang w:val="fr-CH"/>
        </w:rPr>
        <w:t xml:space="preserve"> 2002), les institutions </w:t>
      </w:r>
      <w:proofErr w:type="spellStart"/>
      <w:r w:rsidRPr="00D91731">
        <w:rPr>
          <w:rFonts w:asciiTheme="majorHAnsi" w:hAnsiTheme="majorHAnsi"/>
          <w:sz w:val="20"/>
          <w:szCs w:val="20"/>
          <w:lang w:val="fr-CH"/>
        </w:rPr>
        <w:t>inuites</w:t>
      </w:r>
      <w:proofErr w:type="spellEnd"/>
      <w:r w:rsidRPr="00D91731">
        <w:rPr>
          <w:rFonts w:asciiTheme="majorHAnsi" w:hAnsiTheme="majorHAnsi"/>
          <w:sz w:val="20"/>
          <w:szCs w:val="20"/>
          <w:lang w:val="fr-CH"/>
        </w:rPr>
        <w:t xml:space="preserve"> (la Société </w:t>
      </w:r>
      <w:proofErr w:type="spellStart"/>
      <w:r w:rsidRPr="00D91731">
        <w:rPr>
          <w:rFonts w:asciiTheme="majorHAnsi" w:hAnsiTheme="majorHAnsi"/>
          <w:sz w:val="20"/>
          <w:szCs w:val="20"/>
          <w:lang w:val="fr-CH"/>
        </w:rPr>
        <w:t>Makivik</w:t>
      </w:r>
      <w:proofErr w:type="spellEnd"/>
      <w:r w:rsidRPr="00D91731">
        <w:rPr>
          <w:rFonts w:asciiTheme="majorHAnsi" w:hAnsiTheme="majorHAnsi"/>
          <w:sz w:val="20"/>
          <w:szCs w:val="20"/>
          <w:lang w:val="fr-CH"/>
        </w:rPr>
        <w:t xml:space="preserve"> et les corporations foncières et les institutions publiques (</w:t>
      </w:r>
      <w:proofErr w:type="spellStart"/>
      <w:r w:rsidRPr="00D91731">
        <w:rPr>
          <w:rFonts w:asciiTheme="majorHAnsi" w:hAnsiTheme="majorHAnsi"/>
          <w:sz w:val="20"/>
          <w:szCs w:val="20"/>
          <w:lang w:val="fr-CH"/>
        </w:rPr>
        <w:t>Kativik</w:t>
      </w:r>
      <w:proofErr w:type="spellEnd"/>
      <w:r w:rsidRPr="00D91731">
        <w:rPr>
          <w:rFonts w:asciiTheme="majorHAnsi" w:hAnsiTheme="majorHAnsi"/>
          <w:sz w:val="20"/>
          <w:szCs w:val="20"/>
          <w:lang w:val="fr-CH"/>
        </w:rPr>
        <w:t xml:space="preserve"> régionale, SSS, scolaire) ont pris à leur tour peu à peu le relais. Ces activités s’inscrivent dans le cadre législatif relevant pour l’essentiel du gouvernement du Québec.</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 5 novembre 1999, une entente de principe a été convenue entre les gouvernements de Québec et d’Ottawa et les représentants </w:t>
      </w:r>
      <w:proofErr w:type="spellStart"/>
      <w:r w:rsidRPr="00D91731">
        <w:rPr>
          <w:rFonts w:asciiTheme="majorHAnsi" w:hAnsiTheme="majorHAnsi"/>
          <w:sz w:val="20"/>
          <w:szCs w:val="20"/>
          <w:lang w:val="fr-CH"/>
        </w:rPr>
        <w:t>inuits</w:t>
      </w:r>
      <w:proofErr w:type="spellEnd"/>
      <w:r w:rsidRPr="00D91731">
        <w:rPr>
          <w:rFonts w:asciiTheme="majorHAnsi" w:hAnsiTheme="majorHAnsi"/>
          <w:sz w:val="20"/>
          <w:szCs w:val="20"/>
          <w:lang w:val="fr-CH"/>
        </w:rPr>
        <w:t xml:space="preserve"> en vue de la création de la Commission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responsable de </w:t>
      </w:r>
      <w:r w:rsidR="001A7B69">
        <w:rPr>
          <w:rFonts w:asciiTheme="majorHAnsi" w:hAnsiTheme="majorHAnsi"/>
          <w:sz w:val="20"/>
          <w:szCs w:val="20"/>
          <w:lang w:val="fr-CH"/>
        </w:rPr>
        <w:t>pour</w:t>
      </w:r>
      <w:r w:rsidRPr="00D91731">
        <w:rPr>
          <w:rFonts w:asciiTheme="majorHAnsi" w:hAnsiTheme="majorHAnsi"/>
          <w:sz w:val="20"/>
          <w:szCs w:val="20"/>
          <w:lang w:val="fr-CH"/>
        </w:rPr>
        <w:t>voir à l’établissement d’un calendrier menant à la création d’un gouvernement autonome. L’entente stipule que le gouvernement qui sera mis en place devra être un gouvernement, par la fusions des institutions existantes, dont les repères seront territoriaux et non ethniques, respectant en outre les législations fédérales et québécoises et agissant conformément aux obligations des chartes des droits en application au Canada et au Québec. L’Assemblée nationale du Québec s’engageait au même moment à transférer des pouvoirs en matière de justice, d’éducation, d’environnement, de santé et de fiscalité au nouveau gouvernement qui serait mis graduellement en place.</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Aussi, le gouvernement du Québec laissait-il entrevoir une certaine ouverture afin de doter les Inuits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d’une plus grande autonomie politique. Cela se limite pour le moment à la proposition d’établir une Assemblée régionale élue. Cette Assemblée, qui sera formée d’au moins 21 élus, en provenance des 14 communautés, est appelée à prendre le relais de l’administration régionale </w:t>
      </w:r>
      <w:proofErr w:type="spellStart"/>
      <w:r w:rsidRPr="00D91731">
        <w:rPr>
          <w:rFonts w:asciiTheme="majorHAnsi" w:hAnsiTheme="majorHAnsi"/>
          <w:sz w:val="20"/>
          <w:szCs w:val="20"/>
          <w:lang w:val="fr-CH"/>
        </w:rPr>
        <w:t>Kativik</w:t>
      </w:r>
      <w:proofErr w:type="spellEnd"/>
      <w:r w:rsidRPr="00D91731">
        <w:rPr>
          <w:rFonts w:asciiTheme="majorHAnsi" w:hAnsiTheme="majorHAnsi"/>
          <w:sz w:val="20"/>
          <w:szCs w:val="20"/>
          <w:lang w:val="fr-CH"/>
        </w:rPr>
        <w:t xml:space="preserve">, de la régie régionale de la santé et des services sociaux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et de la Commission scolaire </w:t>
      </w:r>
      <w:proofErr w:type="spellStart"/>
      <w:r w:rsidRPr="00D91731">
        <w:rPr>
          <w:rFonts w:asciiTheme="majorHAnsi" w:hAnsiTheme="majorHAnsi"/>
          <w:sz w:val="20"/>
          <w:szCs w:val="20"/>
          <w:lang w:val="fr-CH"/>
        </w:rPr>
        <w:t>Kativik</w:t>
      </w:r>
      <w:proofErr w:type="spellEnd"/>
      <w:r w:rsidRPr="00D91731">
        <w:rPr>
          <w:rFonts w:asciiTheme="majorHAnsi" w:hAnsiTheme="majorHAnsi"/>
          <w:sz w:val="20"/>
          <w:szCs w:val="20"/>
          <w:lang w:val="fr-CH"/>
        </w:rPr>
        <w:t>.</w:t>
      </w:r>
      <w:r w:rsidRPr="00D91731">
        <w:rPr>
          <w:rFonts w:asciiTheme="majorHAnsi" w:hAnsiTheme="majorHAnsi"/>
          <w:color w:val="FF0000"/>
          <w:sz w:val="20"/>
          <w:szCs w:val="20"/>
          <w:lang w:val="fr-CH"/>
        </w:rPr>
        <w:t xml:space="preserve"> </w:t>
      </w:r>
      <w:r w:rsidRPr="00D91731">
        <w:rPr>
          <w:rFonts w:asciiTheme="majorHAnsi" w:hAnsiTheme="majorHAnsi"/>
          <w:sz w:val="20"/>
          <w:szCs w:val="20"/>
          <w:lang w:val="fr-CH"/>
        </w:rPr>
        <w:t xml:space="preserve">Une entente de principe en vue de la création de ce nouveau gouvernement a été signée le 5 décembre 2007 par les représentants des gouvernements du Québec et d’Ottawa et par les représentants </w:t>
      </w:r>
      <w:proofErr w:type="spellStart"/>
      <w:r w:rsidRPr="00D91731">
        <w:rPr>
          <w:rFonts w:asciiTheme="majorHAnsi" w:hAnsiTheme="majorHAnsi"/>
          <w:sz w:val="20"/>
          <w:szCs w:val="20"/>
          <w:lang w:val="fr-CH"/>
        </w:rPr>
        <w:t>inuits</w:t>
      </w:r>
      <w:proofErr w:type="spellEnd"/>
      <w:r w:rsidRPr="00D91731">
        <w:rPr>
          <w:rFonts w:asciiTheme="majorHAnsi" w:hAnsiTheme="majorHAnsi"/>
          <w:sz w:val="20"/>
          <w:szCs w:val="20"/>
          <w:lang w:val="fr-CH"/>
        </w:rPr>
        <w:t xml:space="preserve">. </w:t>
      </w:r>
    </w:p>
    <w:p w:rsidR="001828DE" w:rsidRDefault="001828DE">
      <w:pPr>
        <w:spacing w:line="360" w:lineRule="auto"/>
        <w:jc w:val="both"/>
        <w:rPr>
          <w:rFonts w:asciiTheme="majorHAnsi" w:hAnsiTheme="majorHAnsi"/>
          <w:color w:val="FF0000"/>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 27 avril 2011, la population de la région a toutefois rejeté à 66 % la proposition de gouvernement régional telle que négociée pa</w:t>
      </w:r>
      <w:r w:rsidR="001A7B69">
        <w:rPr>
          <w:rFonts w:asciiTheme="majorHAnsi" w:hAnsiTheme="majorHAnsi"/>
          <w:sz w:val="20"/>
          <w:szCs w:val="20"/>
          <w:lang w:val="fr-CH"/>
        </w:rPr>
        <w:t>r</w:t>
      </w:r>
      <w:r w:rsidRPr="00D91731">
        <w:rPr>
          <w:rFonts w:asciiTheme="majorHAnsi" w:hAnsiTheme="majorHAnsi"/>
          <w:sz w:val="20"/>
          <w:szCs w:val="20"/>
          <w:lang w:val="fr-CH"/>
        </w:rPr>
        <w:t xml:space="preserve"> ses propres dirigeants. Il est vrai que la nouvelle assemblée aurait donné plus de légitimité aux revendications de la région, mais on n’est pas parvenu, entre autres, à s’entendre quant au partage des revenus tirés de l’exploitation des ressources naturelles sur ce vaste territoire.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 potentiel économique de la région est grand, d’où la réticence des décideurs à Québec de céder sur des enjeux économiques majeurs.  Le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possède des ressources énergétiques énormes</w:t>
      </w:r>
      <w:r w:rsidR="001A7B69">
        <w:rPr>
          <w:rFonts w:asciiTheme="majorHAnsi" w:hAnsiTheme="majorHAnsi"/>
          <w:sz w:val="20"/>
          <w:szCs w:val="20"/>
          <w:lang w:val="fr-CH"/>
        </w:rPr>
        <w:t>,</w:t>
      </w:r>
      <w:r w:rsidRPr="00D91731">
        <w:rPr>
          <w:rFonts w:asciiTheme="majorHAnsi" w:hAnsiTheme="majorHAnsi"/>
          <w:sz w:val="20"/>
          <w:szCs w:val="20"/>
          <w:lang w:val="fr-CH"/>
        </w:rPr>
        <w:t xml:space="preserve"> et est doté de bassins hydrographiques d’envergure pouvant représenter jusqu’à 25</w:t>
      </w:r>
      <w:r w:rsidR="001A7B69">
        <w:rPr>
          <w:rFonts w:asciiTheme="majorHAnsi" w:hAnsiTheme="majorHAnsi"/>
          <w:sz w:val="20"/>
          <w:szCs w:val="20"/>
          <w:lang w:val="fr-CH"/>
        </w:rPr>
        <w:t> </w:t>
      </w:r>
      <w:r w:rsidRPr="00D91731">
        <w:rPr>
          <w:rFonts w:asciiTheme="majorHAnsi" w:hAnsiTheme="majorHAnsi"/>
          <w:sz w:val="20"/>
          <w:szCs w:val="20"/>
          <w:lang w:val="fr-CH"/>
        </w:rPr>
        <w:t>% de la production totale actuelle du Québec dans ce secteur d’activité économique</w:t>
      </w:r>
      <w:r w:rsidRPr="00D91731">
        <w:rPr>
          <w:rStyle w:val="FootnoteReference"/>
          <w:rFonts w:asciiTheme="majorHAnsi" w:hAnsiTheme="majorHAnsi"/>
          <w:sz w:val="20"/>
          <w:szCs w:val="20"/>
          <w:lang w:val="fr-CH"/>
        </w:rPr>
        <w:t xml:space="preserve"> </w:t>
      </w:r>
      <w:r w:rsidRPr="00D91731">
        <w:rPr>
          <w:rStyle w:val="FootnoteReference"/>
          <w:rFonts w:asciiTheme="majorHAnsi" w:hAnsiTheme="majorHAnsi"/>
          <w:sz w:val="20"/>
          <w:szCs w:val="20"/>
        </w:rPr>
        <w:footnoteReference w:id="7"/>
      </w:r>
      <w:r w:rsidR="00891E6B">
        <w:rPr>
          <w:rStyle w:val="FootnoteReference"/>
          <w:rFonts w:asciiTheme="majorHAnsi" w:hAnsiTheme="majorHAnsi"/>
          <w:sz w:val="20"/>
          <w:szCs w:val="20"/>
          <w:lang w:val="fr-CH"/>
        </w:rPr>
        <w:t>.</w:t>
      </w:r>
      <w:r w:rsidRPr="00D91731">
        <w:rPr>
          <w:rFonts w:asciiTheme="majorHAnsi" w:hAnsiTheme="majorHAnsi"/>
          <w:sz w:val="20"/>
          <w:szCs w:val="20"/>
          <w:lang w:val="fr-CH"/>
        </w:rPr>
        <w:t xml:space="preserve"> Pour le moment</w:t>
      </w:r>
      <w:r w:rsidR="001A7B69">
        <w:rPr>
          <w:rFonts w:asciiTheme="majorHAnsi" w:hAnsiTheme="majorHAnsi"/>
          <w:sz w:val="20"/>
          <w:szCs w:val="20"/>
          <w:lang w:val="fr-CH"/>
        </w:rPr>
        <w:t>,</w:t>
      </w:r>
      <w:r w:rsidRPr="00D91731">
        <w:rPr>
          <w:rFonts w:asciiTheme="majorHAnsi" w:hAnsiTheme="majorHAnsi"/>
          <w:sz w:val="20"/>
          <w:szCs w:val="20"/>
          <w:lang w:val="fr-CH"/>
        </w:rPr>
        <w:t xml:space="preserve"> et en vertu de la </w:t>
      </w:r>
      <w:r w:rsidRPr="00D91731">
        <w:rPr>
          <w:rFonts w:asciiTheme="majorHAnsi" w:hAnsiTheme="majorHAnsi"/>
          <w:i/>
          <w:sz w:val="20"/>
          <w:szCs w:val="20"/>
          <w:lang w:val="fr-CH"/>
        </w:rPr>
        <w:t xml:space="preserve">Loi d’extension des frontières de 1912, </w:t>
      </w:r>
      <w:r w:rsidRPr="00D91731">
        <w:rPr>
          <w:rFonts w:asciiTheme="majorHAnsi" w:hAnsiTheme="majorHAnsi"/>
          <w:sz w:val="20"/>
          <w:szCs w:val="20"/>
          <w:lang w:val="fr-CH"/>
        </w:rPr>
        <w:t>les ressources naturelles sur ce vaste territoire relèvent du gouvernement du Québec.</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Plusieurs questions fondamentales portant sur l’autonomie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ont été laissées en suspens. La </w:t>
      </w:r>
      <w:r w:rsidRPr="00D91731">
        <w:rPr>
          <w:rFonts w:asciiTheme="majorHAnsi" w:hAnsiTheme="majorHAnsi"/>
          <w:i/>
          <w:sz w:val="20"/>
          <w:szCs w:val="20"/>
          <w:lang w:val="fr-CH"/>
        </w:rPr>
        <w:t xml:space="preserve">Commission sur le </w:t>
      </w:r>
      <w:proofErr w:type="spellStart"/>
      <w:r w:rsidRPr="00D91731">
        <w:rPr>
          <w:rFonts w:asciiTheme="majorHAnsi" w:hAnsiTheme="majorHAnsi"/>
          <w:i/>
          <w:sz w:val="20"/>
          <w:szCs w:val="20"/>
          <w:lang w:val="fr-CH"/>
        </w:rPr>
        <w:t>Nunavik</w:t>
      </w:r>
      <w:proofErr w:type="spellEnd"/>
      <w:r w:rsidRPr="00D91731">
        <w:rPr>
          <w:rFonts w:asciiTheme="majorHAnsi" w:hAnsiTheme="majorHAnsi"/>
          <w:sz w:val="20"/>
          <w:szCs w:val="20"/>
          <w:lang w:val="fr-CH"/>
        </w:rPr>
        <w:t xml:space="preserve">, en 2001, en avait soulevé un certain nombre. Elle a d’abord relevé la question des recettes fiscales nécessaire à la concrétisation de l’autonomie gouvernementale. Dans le cas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 les besoins financiers du gouvernement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dépassent de beaucoup le potentiel fiscal de la région. »</w:t>
      </w:r>
      <w:r w:rsidRPr="00D91731">
        <w:rPr>
          <w:rStyle w:val="FootnoteReference"/>
          <w:rFonts w:asciiTheme="majorHAnsi" w:hAnsiTheme="majorHAnsi"/>
          <w:sz w:val="20"/>
          <w:szCs w:val="20"/>
        </w:rPr>
        <w:footnoteReference w:id="8"/>
      </w:r>
      <w:r w:rsidRPr="00D91731">
        <w:rPr>
          <w:rFonts w:asciiTheme="majorHAnsi" w:hAnsiTheme="majorHAnsi"/>
          <w:sz w:val="20"/>
          <w:szCs w:val="20"/>
          <w:lang w:val="fr-CH"/>
        </w:rPr>
        <w:t xml:space="preserve"> Afin de pallier ce déséquilibre, la Commission </w:t>
      </w:r>
      <w:r w:rsidR="00891E6B">
        <w:rPr>
          <w:rFonts w:asciiTheme="majorHAnsi" w:hAnsiTheme="majorHAnsi"/>
          <w:sz w:val="20"/>
          <w:szCs w:val="20"/>
          <w:lang w:val="fr-CH"/>
        </w:rPr>
        <w:t xml:space="preserve">a </w:t>
      </w:r>
      <w:r w:rsidRPr="00D91731">
        <w:rPr>
          <w:rFonts w:asciiTheme="majorHAnsi" w:hAnsiTheme="majorHAnsi"/>
          <w:sz w:val="20"/>
          <w:szCs w:val="20"/>
          <w:lang w:val="fr-CH"/>
        </w:rPr>
        <w:t>propos</w:t>
      </w:r>
      <w:r w:rsidR="00891E6B">
        <w:rPr>
          <w:rFonts w:asciiTheme="majorHAnsi" w:hAnsiTheme="majorHAnsi"/>
          <w:sz w:val="20"/>
          <w:szCs w:val="20"/>
          <w:lang w:val="fr-CH"/>
        </w:rPr>
        <w:t>é</w:t>
      </w:r>
      <w:r w:rsidRPr="00D91731">
        <w:rPr>
          <w:rFonts w:asciiTheme="majorHAnsi" w:hAnsiTheme="majorHAnsi"/>
          <w:sz w:val="20"/>
          <w:szCs w:val="20"/>
          <w:lang w:val="fr-CH"/>
        </w:rPr>
        <w:t xml:space="preserve"> la mise sur pied de trois outils potentiels : a) les taxes et impôts ; b) les rentes et les redevances sur les ressources naturelles ; et c) les droits et les dividendes issus d’entreprises de service public. La Commission proposa de permettre au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de modifier les taux de taxation « en ce qui concerne l’impôt sur le revenu et la taxe de vente »</w:t>
      </w:r>
      <w:r w:rsidRPr="00D91731">
        <w:rPr>
          <w:rStyle w:val="FootnoteReference"/>
          <w:rFonts w:asciiTheme="majorHAnsi" w:hAnsiTheme="majorHAnsi"/>
          <w:sz w:val="20"/>
          <w:szCs w:val="20"/>
        </w:rPr>
        <w:footnoteReference w:id="9"/>
      </w:r>
      <w:r w:rsidRPr="00D91731">
        <w:rPr>
          <w:rFonts w:asciiTheme="majorHAnsi" w:hAnsiTheme="majorHAnsi"/>
          <w:sz w:val="20"/>
          <w:szCs w:val="20"/>
          <w:lang w:val="fr-CH"/>
        </w:rPr>
        <w:t xml:space="preserve"> et le remboursement d’une proportion des impôts sur le revenu et autres taxes prélevées sur le territoire du </w:t>
      </w:r>
      <w:proofErr w:type="spellStart"/>
      <w:r w:rsidRPr="00D91731">
        <w:rPr>
          <w:rFonts w:asciiTheme="majorHAnsi" w:hAnsiTheme="majorHAnsi"/>
          <w:sz w:val="20"/>
          <w:szCs w:val="20"/>
          <w:lang w:val="fr-CH"/>
        </w:rPr>
        <w:t>Nunavik</w:t>
      </w:r>
      <w:proofErr w:type="spellEnd"/>
      <w:r w:rsidRPr="00D91731">
        <w:rPr>
          <w:rStyle w:val="FootnoteReference"/>
          <w:rFonts w:asciiTheme="majorHAnsi" w:hAnsiTheme="majorHAnsi"/>
          <w:sz w:val="20"/>
          <w:szCs w:val="20"/>
        </w:rPr>
        <w:footnoteReference w:id="10"/>
      </w:r>
      <w:r w:rsidRPr="00D91731">
        <w:rPr>
          <w:rFonts w:asciiTheme="majorHAnsi" w:hAnsiTheme="majorHAnsi"/>
          <w:sz w:val="20"/>
          <w:szCs w:val="20"/>
          <w:lang w:val="fr-CH"/>
        </w:rPr>
        <w:t>, par les gouvernements du Québec et du Canada.</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La Commission considère qu’étant donné l’assise territoriale du gouvernement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il ne serait que normal qu’il puisse obtenir une partie des rentes et des redevances. Naturellement, « dans une région aussi peu peuplée, les rentes et les redevances constitueraient la principale source de revenus autonome »</w:t>
      </w:r>
      <w:r w:rsidRPr="00D91731">
        <w:rPr>
          <w:rStyle w:val="FootnoteReference"/>
          <w:rFonts w:asciiTheme="majorHAnsi" w:hAnsiTheme="majorHAnsi"/>
          <w:sz w:val="20"/>
          <w:szCs w:val="20"/>
        </w:rPr>
        <w:footnoteReference w:id="11"/>
      </w:r>
      <w:r w:rsidRPr="00D91731">
        <w:rPr>
          <w:rFonts w:asciiTheme="majorHAnsi" w:hAnsiTheme="majorHAnsi"/>
          <w:sz w:val="20"/>
          <w:szCs w:val="20"/>
          <w:lang w:val="fr-CH"/>
        </w:rPr>
        <w:t xml:space="preserve">. La formation d’un gouvernement autonome au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devrait être précédée par des négociations au cours desquelles les conditions de partage des ressources financières pourraient être établies.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En plus des taxes, des impôts, des rentes et des redevances, la Commission souhaite que soit accordée au gouvernement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la possibilité de percevoir des droits pour certaines activités économiques. Dans le cas des domaines relevant d’une compétence provinciale ou d’une compétence fédérale, des négociations devront être menées sans tarder. De plus, le Gouvernement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devrait pouvoir créer ses propres entreprises de services publics. Cependant, et de l’avis de la Commission, les sources fiscales étant </w:t>
      </w:r>
      <w:r w:rsidR="00891E6B">
        <w:rPr>
          <w:rFonts w:asciiTheme="majorHAnsi" w:hAnsiTheme="majorHAnsi"/>
          <w:sz w:val="20"/>
          <w:szCs w:val="20"/>
          <w:lang w:val="fr-CH"/>
        </w:rPr>
        <w:t>tout de</w:t>
      </w:r>
      <w:r w:rsidRPr="00D91731">
        <w:rPr>
          <w:rFonts w:asciiTheme="majorHAnsi" w:hAnsiTheme="majorHAnsi"/>
          <w:sz w:val="20"/>
          <w:szCs w:val="20"/>
          <w:lang w:val="fr-CH"/>
        </w:rPr>
        <w:t xml:space="preserve"> même assez limitées, elles seraient insuffisantes pour garantir le financement complet des services publics. Les paiements de transfert viendraient combler l’écart.</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La Commission s’est aussi penchée sur la question de la gestion du territoire et des ressources et elle y voit à la fois un enjeu de taille étant donné le potentiel économique qui y est rattaché, les bénéfices pouvant en être tirés et l’attachement des communautés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à leur propre milieu de vie.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 vaste territoire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renferme un potentiel considérable : ressources minérales (nickel, cuivre, fer, or, zinc, plomb, lithium) ; ressources énergétiques (rivières, marées, vents, biomasse); ressources en eau douce. Ces ressources représentent un potentiel de développement important et une source substantielle de revenu pour le gouvernement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color w:val="FF0000"/>
          <w:sz w:val="20"/>
          <w:szCs w:val="20"/>
          <w:lang w:val="fr-CH"/>
        </w:rPr>
      </w:pPr>
      <w:r w:rsidRPr="00D91731">
        <w:rPr>
          <w:rFonts w:asciiTheme="majorHAnsi" w:hAnsiTheme="majorHAnsi"/>
          <w:sz w:val="20"/>
          <w:szCs w:val="20"/>
          <w:lang w:val="fr-CH"/>
        </w:rPr>
        <w:t xml:space="preserve">Les questions relatives à la gestion du territoire et aux ressources naturelles relèvent du gouvernement du Québec alors que les questions environnementales relèvent concurremment du gouvernement fédéral et du gouvernement du Québec. À ce chapitre, la Commission considère qu’un « gouvernement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devrait partager la responsabilité du contrôle sur le territoire et ses ressources avec les gouvernements du Québec et du Canada. »</w:t>
      </w:r>
      <w:r w:rsidRPr="00D91731">
        <w:rPr>
          <w:rStyle w:val="FootnoteReference"/>
          <w:rFonts w:asciiTheme="majorHAnsi" w:hAnsiTheme="majorHAnsi"/>
          <w:sz w:val="20"/>
          <w:szCs w:val="20"/>
        </w:rPr>
        <w:footnoteReference w:id="12"/>
      </w:r>
      <w:r w:rsidRPr="00D91731">
        <w:rPr>
          <w:rFonts w:asciiTheme="majorHAnsi" w:hAnsiTheme="majorHAnsi"/>
          <w:sz w:val="20"/>
          <w:szCs w:val="20"/>
          <w:lang w:val="fr-CH"/>
        </w:rPr>
        <w:t xml:space="preserve"> </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color w:val="000000"/>
          <w:sz w:val="20"/>
          <w:szCs w:val="20"/>
          <w:shd w:val="clear" w:color="auto" w:fill="FFFFFF"/>
          <w:lang w:val="fr-CA" w:eastAsia="fr-FR"/>
        </w:rPr>
      </w:pPr>
      <w:r w:rsidRPr="00D91731">
        <w:rPr>
          <w:rFonts w:asciiTheme="majorHAnsi" w:hAnsiTheme="majorHAnsi"/>
          <w:sz w:val="20"/>
          <w:szCs w:val="20"/>
          <w:lang w:val="fr-CH"/>
        </w:rPr>
        <w:t>Le gouvernement central ne s’est toutefois pas délesté de ses obligations au complet comme l’indique la signature</w:t>
      </w:r>
      <w:r w:rsidR="00891E6B">
        <w:rPr>
          <w:rFonts w:asciiTheme="majorHAnsi" w:hAnsiTheme="majorHAnsi"/>
          <w:sz w:val="20"/>
          <w:szCs w:val="20"/>
          <w:lang w:val="fr-CH"/>
        </w:rPr>
        <w:t xml:space="preserve"> </w:t>
      </w:r>
      <w:r w:rsidRPr="00D91731">
        <w:rPr>
          <w:rFonts w:asciiTheme="majorHAnsi" w:hAnsiTheme="majorHAnsi"/>
          <w:sz w:val="20"/>
          <w:szCs w:val="20"/>
          <w:lang w:val="fr-CH"/>
        </w:rPr>
        <w:t>le 1</w:t>
      </w:r>
      <w:r w:rsidRPr="00D91731">
        <w:rPr>
          <w:rFonts w:asciiTheme="majorHAnsi" w:hAnsiTheme="majorHAnsi"/>
          <w:sz w:val="20"/>
          <w:szCs w:val="20"/>
          <w:vertAlign w:val="superscript"/>
          <w:lang w:val="fr-CH"/>
        </w:rPr>
        <w:t>er</w:t>
      </w:r>
      <w:r w:rsidRPr="00D91731">
        <w:rPr>
          <w:rFonts w:asciiTheme="majorHAnsi" w:hAnsiTheme="majorHAnsi"/>
          <w:sz w:val="20"/>
          <w:szCs w:val="20"/>
          <w:lang w:val="fr-CH"/>
        </w:rPr>
        <w:t xml:space="preserve"> décembre 2006 de l’Accord sur les revendications territoriales des Inuits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xml:space="preserve">. Cet accord a été signé par les représentants du gouvernement central et du gouvernement du Nunavut de même que par la Société </w:t>
      </w:r>
      <w:proofErr w:type="spellStart"/>
      <w:r w:rsidRPr="00D91731">
        <w:rPr>
          <w:rFonts w:asciiTheme="majorHAnsi" w:hAnsiTheme="majorHAnsi"/>
          <w:sz w:val="20"/>
          <w:szCs w:val="20"/>
          <w:lang w:val="fr-CH"/>
        </w:rPr>
        <w:t>Makivik</w:t>
      </w:r>
      <w:proofErr w:type="spellEnd"/>
      <w:r w:rsidRPr="00D91731">
        <w:rPr>
          <w:rFonts w:asciiTheme="majorHAnsi" w:hAnsiTheme="majorHAnsi"/>
          <w:sz w:val="20"/>
          <w:szCs w:val="20"/>
          <w:lang w:val="fr-CH"/>
        </w:rPr>
        <w:t xml:space="preserve"> (représentant la population </w:t>
      </w:r>
      <w:proofErr w:type="spellStart"/>
      <w:r w:rsidRPr="00D91731">
        <w:rPr>
          <w:rFonts w:asciiTheme="majorHAnsi" w:hAnsiTheme="majorHAnsi"/>
          <w:sz w:val="20"/>
          <w:szCs w:val="20"/>
          <w:lang w:val="fr-CH"/>
        </w:rPr>
        <w:t>inuite</w:t>
      </w:r>
      <w:proofErr w:type="spellEnd"/>
      <w:r w:rsidRPr="00D91731">
        <w:rPr>
          <w:rFonts w:asciiTheme="majorHAnsi" w:hAnsiTheme="majorHAnsi"/>
          <w:sz w:val="20"/>
          <w:szCs w:val="20"/>
          <w:lang w:val="fr-CH"/>
        </w:rPr>
        <w:t>). L’</w:t>
      </w:r>
      <w:r w:rsidRPr="00D91731">
        <w:rPr>
          <w:rFonts w:asciiTheme="majorHAnsi" w:hAnsiTheme="majorHAnsi"/>
          <w:i/>
          <w:sz w:val="20"/>
          <w:szCs w:val="20"/>
          <w:lang w:val="fr-CH"/>
        </w:rPr>
        <w:t xml:space="preserve">Accord sur les revendications territoriales des Inuits du </w:t>
      </w:r>
      <w:proofErr w:type="spellStart"/>
      <w:r w:rsidRPr="00D91731">
        <w:rPr>
          <w:rFonts w:asciiTheme="majorHAnsi" w:hAnsiTheme="majorHAnsi"/>
          <w:i/>
          <w:sz w:val="20"/>
          <w:szCs w:val="20"/>
          <w:lang w:val="fr-CH"/>
        </w:rPr>
        <w:t>Nunavik</w:t>
      </w:r>
      <w:proofErr w:type="spellEnd"/>
      <w:r w:rsidRPr="00D91731">
        <w:rPr>
          <w:rStyle w:val="FootnoteReference"/>
          <w:rFonts w:asciiTheme="majorHAnsi" w:hAnsiTheme="majorHAnsi"/>
          <w:i/>
          <w:sz w:val="20"/>
          <w:szCs w:val="20"/>
        </w:rPr>
        <w:footnoteReference w:id="13"/>
      </w:r>
      <w:r w:rsidRPr="00D91731">
        <w:rPr>
          <w:rFonts w:asciiTheme="majorHAnsi" w:hAnsiTheme="majorHAnsi"/>
          <w:i/>
          <w:sz w:val="20"/>
          <w:szCs w:val="20"/>
          <w:lang w:val="fr-CH"/>
        </w:rPr>
        <w:t xml:space="preserve"> </w:t>
      </w:r>
      <w:r w:rsidRPr="00D91731">
        <w:rPr>
          <w:rFonts w:asciiTheme="majorHAnsi" w:hAnsiTheme="majorHAnsi"/>
          <w:sz w:val="20"/>
          <w:szCs w:val="20"/>
          <w:lang w:val="fr-CH"/>
        </w:rPr>
        <w:t xml:space="preserve">a été ratifié dans le but, entre autres, d’apporter des éléments de réponse à la question des zones </w:t>
      </w:r>
      <w:proofErr w:type="spellStart"/>
      <w:r w:rsidRPr="00D91731">
        <w:rPr>
          <w:rFonts w:asciiTheme="majorHAnsi" w:hAnsiTheme="majorHAnsi"/>
          <w:sz w:val="20"/>
          <w:szCs w:val="20"/>
          <w:lang w:val="fr-CH"/>
        </w:rPr>
        <w:t>extra</w:t>
      </w:r>
      <w:r w:rsidR="00891E6B">
        <w:rPr>
          <w:rFonts w:asciiTheme="majorHAnsi" w:hAnsiTheme="majorHAnsi"/>
          <w:sz w:val="20"/>
          <w:szCs w:val="20"/>
          <w:lang w:val="fr-CH"/>
        </w:rPr>
        <w:t>-</w:t>
      </w:r>
      <w:r w:rsidRPr="00D91731">
        <w:rPr>
          <w:rFonts w:asciiTheme="majorHAnsi" w:hAnsiTheme="majorHAnsi"/>
          <w:sz w:val="20"/>
          <w:szCs w:val="20"/>
          <w:lang w:val="fr-CH"/>
        </w:rPr>
        <w:t>côtières</w:t>
      </w:r>
      <w:proofErr w:type="spellEnd"/>
      <w:r w:rsidRPr="00D91731">
        <w:rPr>
          <w:rFonts w:asciiTheme="majorHAnsi" w:hAnsiTheme="majorHAnsi"/>
          <w:sz w:val="20"/>
          <w:szCs w:val="20"/>
          <w:lang w:val="fr-CH"/>
        </w:rPr>
        <w:t xml:space="preserve"> laissée en suspens au moment de la signature de la Convention de la Baie-James. Ce nouvel accord st</w:t>
      </w:r>
      <w:r w:rsidR="00891E6B">
        <w:rPr>
          <w:rFonts w:asciiTheme="majorHAnsi" w:hAnsiTheme="majorHAnsi"/>
          <w:sz w:val="20"/>
          <w:szCs w:val="20"/>
          <w:lang w:val="fr-CH"/>
        </w:rPr>
        <w:t>ipul</w:t>
      </w:r>
      <w:r w:rsidRPr="00D91731">
        <w:rPr>
          <w:rFonts w:asciiTheme="majorHAnsi" w:hAnsiTheme="majorHAnsi"/>
          <w:sz w:val="20"/>
          <w:szCs w:val="20"/>
          <w:lang w:val="fr-CH"/>
        </w:rPr>
        <w:t>e que « </w:t>
      </w:r>
      <w:r w:rsidRPr="00D91731">
        <w:rPr>
          <w:rFonts w:asciiTheme="majorHAnsi" w:hAnsiTheme="majorHAnsi"/>
          <w:color w:val="000000"/>
          <w:sz w:val="20"/>
          <w:szCs w:val="20"/>
          <w:shd w:val="clear" w:color="auto" w:fill="FFFFFF"/>
          <w:lang w:val="fr-CA" w:eastAsia="fr-FR"/>
        </w:rPr>
        <w:t xml:space="preserve">Les Inuits du </w:t>
      </w:r>
      <w:proofErr w:type="spellStart"/>
      <w:r w:rsidRPr="00D91731">
        <w:rPr>
          <w:rFonts w:asciiTheme="majorHAnsi" w:hAnsiTheme="majorHAnsi"/>
          <w:color w:val="000000"/>
          <w:sz w:val="20"/>
          <w:szCs w:val="20"/>
          <w:shd w:val="clear" w:color="auto" w:fill="FFFFFF"/>
          <w:lang w:val="fr-CA" w:eastAsia="fr-FR"/>
        </w:rPr>
        <w:t>Nunavik</w:t>
      </w:r>
      <w:proofErr w:type="spellEnd"/>
      <w:r w:rsidRPr="00D91731">
        <w:rPr>
          <w:rFonts w:asciiTheme="majorHAnsi" w:hAnsiTheme="majorHAnsi"/>
          <w:color w:val="000000"/>
          <w:sz w:val="20"/>
          <w:szCs w:val="20"/>
          <w:shd w:val="clear" w:color="auto" w:fill="FFFFFF"/>
          <w:lang w:val="fr-CA" w:eastAsia="fr-FR"/>
        </w:rPr>
        <w:t xml:space="preserve"> auront droit à des redevances annuelles du gouvernement du Canada issues de l’exploitation des ressources dans la région marine du </w:t>
      </w:r>
      <w:proofErr w:type="spellStart"/>
      <w:r w:rsidRPr="00D91731">
        <w:rPr>
          <w:rFonts w:asciiTheme="majorHAnsi" w:hAnsiTheme="majorHAnsi"/>
          <w:color w:val="000000"/>
          <w:sz w:val="20"/>
          <w:szCs w:val="20"/>
          <w:shd w:val="clear" w:color="auto" w:fill="FFFFFF"/>
          <w:lang w:val="fr-CA" w:eastAsia="fr-FR"/>
        </w:rPr>
        <w:t>Nunavik</w:t>
      </w:r>
      <w:proofErr w:type="spellEnd"/>
      <w:r w:rsidRPr="00D91731">
        <w:rPr>
          <w:rFonts w:asciiTheme="majorHAnsi" w:hAnsiTheme="majorHAnsi"/>
          <w:color w:val="000000"/>
          <w:sz w:val="20"/>
          <w:szCs w:val="20"/>
          <w:shd w:val="clear" w:color="auto" w:fill="FFFFFF"/>
          <w:lang w:val="fr-CA" w:eastAsia="fr-FR"/>
        </w:rPr>
        <w:t>. Ce montant équivaudra à 50 % des 2 premiers millions de dollars et à 5 % des redevances additionnelles perçues par le gouvernement au cours de l’année.”</w:t>
      </w:r>
      <w:r w:rsidRPr="00D91731">
        <w:rPr>
          <w:rStyle w:val="FootnoteReference"/>
          <w:rFonts w:asciiTheme="majorHAnsi" w:hAnsiTheme="majorHAnsi"/>
          <w:color w:val="000000"/>
          <w:sz w:val="20"/>
          <w:szCs w:val="20"/>
          <w:shd w:val="clear" w:color="auto" w:fill="FFFFFF"/>
          <w:lang w:eastAsia="fr-FR"/>
        </w:rPr>
        <w:footnoteReference w:id="14"/>
      </w:r>
      <w:r w:rsidRPr="00D91731">
        <w:rPr>
          <w:rFonts w:asciiTheme="majorHAnsi" w:hAnsiTheme="majorHAnsi"/>
          <w:color w:val="000000"/>
          <w:sz w:val="20"/>
          <w:szCs w:val="20"/>
          <w:shd w:val="clear" w:color="auto" w:fill="FFFFFF"/>
          <w:lang w:val="fr-CA" w:eastAsia="fr-FR"/>
        </w:rPr>
        <w:t xml:space="preserve"> </w:t>
      </w:r>
    </w:p>
    <w:p w:rsidR="001828DE" w:rsidRDefault="001828DE">
      <w:pPr>
        <w:spacing w:line="360" w:lineRule="auto"/>
        <w:jc w:val="both"/>
        <w:rPr>
          <w:rFonts w:asciiTheme="majorHAnsi" w:hAnsiTheme="majorHAnsi"/>
          <w:b/>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Ces notes, bien que sommaires, nous amènent à approfondir la question de la gestion des ressources en abordant le cas du Nunavut. Ce territoire</w:t>
      </w:r>
      <w:r w:rsidR="00891E6B">
        <w:rPr>
          <w:rFonts w:asciiTheme="majorHAnsi" w:hAnsiTheme="majorHAnsi"/>
          <w:sz w:val="20"/>
          <w:szCs w:val="20"/>
          <w:lang w:val="fr-CH"/>
        </w:rPr>
        <w:t>,</w:t>
      </w:r>
      <w:r w:rsidRPr="00D91731">
        <w:rPr>
          <w:rFonts w:asciiTheme="majorHAnsi" w:hAnsiTheme="majorHAnsi"/>
          <w:sz w:val="20"/>
          <w:szCs w:val="20"/>
          <w:lang w:val="fr-CH"/>
        </w:rPr>
        <w:t xml:space="preserve"> plus grand que le </w:t>
      </w:r>
      <w:r w:rsidR="00891E6B">
        <w:rPr>
          <w:rFonts w:asciiTheme="majorHAnsi" w:hAnsiTheme="majorHAnsi"/>
          <w:sz w:val="20"/>
          <w:szCs w:val="20"/>
          <w:lang w:val="fr-CH"/>
        </w:rPr>
        <w:t>Mexique,</w:t>
      </w:r>
      <w:r w:rsidRPr="00D91731">
        <w:rPr>
          <w:rFonts w:asciiTheme="majorHAnsi" w:hAnsiTheme="majorHAnsi"/>
          <w:sz w:val="20"/>
          <w:szCs w:val="20"/>
          <w:lang w:val="fr-CH"/>
        </w:rPr>
        <w:t xml:space="preserve"> couvre le </w:t>
      </w:r>
      <w:r w:rsidR="00891E6B">
        <w:rPr>
          <w:rFonts w:asciiTheme="majorHAnsi" w:hAnsiTheme="majorHAnsi"/>
          <w:sz w:val="20"/>
          <w:szCs w:val="20"/>
          <w:lang w:val="fr-CH"/>
        </w:rPr>
        <w:t>n</w:t>
      </w:r>
      <w:r w:rsidRPr="00D91731">
        <w:rPr>
          <w:rFonts w:asciiTheme="majorHAnsi" w:hAnsiTheme="majorHAnsi"/>
          <w:sz w:val="20"/>
          <w:szCs w:val="20"/>
          <w:lang w:val="fr-CH"/>
        </w:rPr>
        <w:t>ord et l’</w:t>
      </w:r>
      <w:r w:rsidR="00891E6B">
        <w:rPr>
          <w:rFonts w:asciiTheme="majorHAnsi" w:hAnsiTheme="majorHAnsi"/>
          <w:sz w:val="20"/>
          <w:szCs w:val="20"/>
          <w:lang w:val="fr-CH"/>
        </w:rPr>
        <w:t>e</w:t>
      </w:r>
      <w:r w:rsidRPr="00D91731">
        <w:rPr>
          <w:rFonts w:asciiTheme="majorHAnsi" w:hAnsiTheme="majorHAnsi"/>
          <w:sz w:val="20"/>
          <w:szCs w:val="20"/>
          <w:lang w:val="fr-CH"/>
        </w:rPr>
        <w:t>st de l’Arctique canadien (voir Carte 1).</w:t>
      </w:r>
    </w:p>
    <w:p w:rsidR="001828DE" w:rsidRDefault="001828DE">
      <w:pPr>
        <w:spacing w:line="360" w:lineRule="auto"/>
        <w:rPr>
          <w:rFonts w:asciiTheme="majorHAnsi" w:hAnsiTheme="majorHAnsi"/>
          <w:sz w:val="20"/>
          <w:szCs w:val="20"/>
          <w:lang w:val="fr-CH"/>
        </w:rPr>
      </w:pPr>
    </w:p>
    <w:p w:rsidR="001828DE" w:rsidRDefault="00D91731">
      <w:pPr>
        <w:spacing w:line="360" w:lineRule="auto"/>
        <w:ind w:firstLine="708"/>
        <w:rPr>
          <w:rFonts w:asciiTheme="majorHAnsi" w:hAnsiTheme="majorHAnsi"/>
          <w:i/>
          <w:sz w:val="20"/>
          <w:szCs w:val="20"/>
          <w:lang w:val="fr-CH"/>
        </w:rPr>
      </w:pPr>
      <w:r w:rsidRPr="00D91731">
        <w:rPr>
          <w:rFonts w:asciiTheme="majorHAnsi" w:hAnsiTheme="majorHAnsi"/>
          <w:i/>
          <w:sz w:val="20"/>
          <w:szCs w:val="20"/>
          <w:lang w:val="fr-CH"/>
        </w:rPr>
        <w:t>Le Nunavut : un territoire autonome au sein de la fédération canadienne</w:t>
      </w:r>
    </w:p>
    <w:p w:rsidR="001828DE" w:rsidRDefault="001828DE">
      <w:pPr>
        <w:spacing w:line="360" w:lineRule="auto"/>
        <w:rPr>
          <w:rFonts w:asciiTheme="majorHAnsi" w:hAnsiTheme="majorHAnsi"/>
          <w:sz w:val="20"/>
          <w:szCs w:val="20"/>
          <w:lang w:val="fr-CH"/>
        </w:rPr>
      </w:pPr>
    </w:p>
    <w:p w:rsidR="001828DE" w:rsidRDefault="00D91731">
      <w:pPr>
        <w:spacing w:line="360" w:lineRule="auto"/>
        <w:jc w:val="both"/>
        <w:rPr>
          <w:rFonts w:asciiTheme="majorHAnsi" w:hAnsiTheme="majorHAnsi"/>
          <w:b/>
          <w:sz w:val="20"/>
          <w:szCs w:val="20"/>
          <w:lang w:val="fr-CH"/>
        </w:rPr>
      </w:pPr>
      <w:r w:rsidRPr="00D91731">
        <w:rPr>
          <w:rFonts w:asciiTheme="majorHAnsi" w:hAnsiTheme="majorHAnsi"/>
          <w:b/>
          <w:sz w:val="20"/>
          <w:szCs w:val="20"/>
          <w:lang w:val="fr-CH"/>
        </w:rPr>
        <w:t>Le Nunavut</w:t>
      </w: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Superficie : plus de 2 000 000 km²</w:t>
      </w: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Population : environ 31 000, dont 85% sont des Inuit.</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 cas du Nunavut est tout aussi pertinent pour la présente </w:t>
      </w:r>
      <w:r w:rsidR="00891E6B">
        <w:rPr>
          <w:rFonts w:asciiTheme="majorHAnsi" w:hAnsiTheme="majorHAnsi"/>
          <w:sz w:val="20"/>
          <w:szCs w:val="20"/>
          <w:lang w:val="fr-CH"/>
        </w:rPr>
        <w:t>étude</w:t>
      </w:r>
      <w:r w:rsidRPr="00D91731">
        <w:rPr>
          <w:rFonts w:asciiTheme="majorHAnsi" w:hAnsiTheme="majorHAnsi"/>
          <w:sz w:val="20"/>
          <w:szCs w:val="20"/>
          <w:lang w:val="fr-CH"/>
        </w:rPr>
        <w:t>. Dans les faits, il s’agit d’un territoire autonome au sein de la fédération canadienne qui ne relève pas de l’une ou l’autre des provinces. Ce territoire relève directement du gouvernement central. Il n’y a donc dans ce cas de figure que deux acteurs en présence.</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Précisons d’entrée de jeu que le gouvernement central, par la voie de sa </w:t>
      </w:r>
      <w:r w:rsidRPr="00D91731">
        <w:rPr>
          <w:rFonts w:asciiTheme="majorHAnsi" w:hAnsiTheme="majorHAnsi"/>
          <w:i/>
          <w:sz w:val="20"/>
          <w:szCs w:val="20"/>
          <w:lang w:val="fr-CH"/>
        </w:rPr>
        <w:t>Loi sur les terres territoriales</w:t>
      </w:r>
      <w:r w:rsidRPr="00D91731">
        <w:rPr>
          <w:rFonts w:asciiTheme="majorHAnsi" w:hAnsiTheme="majorHAnsi"/>
          <w:sz w:val="20"/>
          <w:szCs w:val="20"/>
          <w:lang w:val="fr-CH"/>
        </w:rPr>
        <w:t xml:space="preserve"> de 1985 - dont la plus récente actualisation remonte au 1</w:t>
      </w:r>
      <w:r w:rsidRPr="00D91731">
        <w:rPr>
          <w:rFonts w:asciiTheme="majorHAnsi" w:hAnsiTheme="majorHAnsi"/>
          <w:sz w:val="20"/>
          <w:szCs w:val="20"/>
          <w:vertAlign w:val="superscript"/>
          <w:lang w:val="fr-CH"/>
        </w:rPr>
        <w:t>er</w:t>
      </w:r>
      <w:r w:rsidRPr="00D91731">
        <w:rPr>
          <w:rFonts w:asciiTheme="majorHAnsi" w:hAnsiTheme="majorHAnsi"/>
          <w:sz w:val="20"/>
          <w:szCs w:val="20"/>
          <w:lang w:val="fr-CH"/>
        </w:rPr>
        <w:t xml:space="preserve"> avril 2003 - </w:t>
      </w:r>
      <w:r w:rsidR="00891E6B">
        <w:rPr>
          <w:rFonts w:asciiTheme="majorHAnsi" w:hAnsiTheme="majorHAnsi"/>
          <w:sz w:val="20"/>
          <w:szCs w:val="20"/>
          <w:lang w:val="fr-CH"/>
        </w:rPr>
        <w:t>dispos</w:t>
      </w:r>
      <w:r w:rsidRPr="00D91731">
        <w:rPr>
          <w:rFonts w:asciiTheme="majorHAnsi" w:hAnsiTheme="majorHAnsi"/>
          <w:sz w:val="20"/>
          <w:szCs w:val="20"/>
          <w:lang w:val="fr-CH"/>
        </w:rPr>
        <w:t xml:space="preserve">e à son article 15 que </w:t>
      </w:r>
      <w:r w:rsidR="00891E6B">
        <w:rPr>
          <w:rFonts w:asciiTheme="majorHAnsi" w:hAnsiTheme="majorHAnsi"/>
          <w:sz w:val="20"/>
          <w:szCs w:val="20"/>
          <w:lang w:val="fr-CH"/>
        </w:rPr>
        <w:t>« </w:t>
      </w:r>
      <w:r w:rsidRPr="00D91731">
        <w:rPr>
          <w:rFonts w:asciiTheme="majorHAnsi" w:hAnsiTheme="majorHAnsi"/>
          <w:sz w:val="20"/>
          <w:szCs w:val="20"/>
          <w:lang w:val="fr-CH"/>
        </w:rPr>
        <w:t>sont réputés réservés à la Couronne, sur les terres territoriales concédées : a) les minerais et autres minéraux, notamment les hydrocarbures liquides ou gazeux, qui peuvent y être découverts, en surface ou dans le sous-sol, le droit de les exploiter ainsi que les droits d’accès, d’usage et d’occupation nécessaires pour l’exploitation et l’extraction des minéraux ; b) les droits de pêche ainsi que les droits d’occupation à cette fin sur les terres territoriales elles-mêmes ou leurs abords. </w:t>
      </w:r>
      <w:r w:rsidRPr="00D91731">
        <w:rPr>
          <w:rStyle w:val="FootnoteReference"/>
          <w:rFonts w:asciiTheme="majorHAnsi" w:hAnsiTheme="majorHAnsi"/>
          <w:sz w:val="20"/>
          <w:szCs w:val="20"/>
        </w:rPr>
        <w:footnoteReference w:id="15"/>
      </w:r>
      <w:r w:rsidRPr="00D91731">
        <w:rPr>
          <w:rFonts w:asciiTheme="majorHAnsi" w:hAnsiTheme="majorHAnsi"/>
          <w:sz w:val="20"/>
          <w:szCs w:val="20"/>
          <w:lang w:val="fr-CH"/>
        </w:rPr>
        <w:t>»  Cette législation avait pour but assurément de mettre les choses au clair quant à l’exercice de la souveraineté exercée par le gouvernement central sur les trois territoires bordant le Canada au nord.</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Les Inuits du Nunavut ont depuis 1999 leur propre gouvernement territorial et, en ce sens, ils sont en mesure d’exercer une certaine forme d’autodétermination interne. Le processus menant à la création du territoire du Nunavut a débuté en 1976, lorsque l’Inuit </w:t>
      </w:r>
      <w:proofErr w:type="spellStart"/>
      <w:r w:rsidRPr="00D91731">
        <w:rPr>
          <w:rFonts w:asciiTheme="majorHAnsi" w:hAnsiTheme="majorHAnsi"/>
          <w:sz w:val="20"/>
          <w:szCs w:val="20"/>
          <w:lang w:val="fr-CH"/>
        </w:rPr>
        <w:t>Tapirisat</w:t>
      </w:r>
      <w:proofErr w:type="spellEnd"/>
      <w:r w:rsidRPr="00D91731">
        <w:rPr>
          <w:rFonts w:asciiTheme="majorHAnsi" w:hAnsiTheme="majorHAnsi"/>
          <w:sz w:val="20"/>
          <w:szCs w:val="20"/>
          <w:lang w:val="fr-CH"/>
        </w:rPr>
        <w:t xml:space="preserve"> du Canada (ITC) a proposé la création du Territoire du Nunavut. En 1993, la </w:t>
      </w:r>
      <w:r w:rsidRPr="00D91731">
        <w:rPr>
          <w:rFonts w:asciiTheme="majorHAnsi" w:hAnsiTheme="majorHAnsi"/>
          <w:i/>
          <w:sz w:val="20"/>
          <w:szCs w:val="20"/>
          <w:lang w:val="fr-CH"/>
        </w:rPr>
        <w:t>Loi concernant l’accord sur les revendications territoriales du Nunavut</w:t>
      </w:r>
      <w:r w:rsidRPr="00D91731">
        <w:rPr>
          <w:rFonts w:asciiTheme="majorHAnsi" w:hAnsiTheme="majorHAnsi"/>
          <w:sz w:val="20"/>
          <w:szCs w:val="20"/>
          <w:lang w:val="fr-CH"/>
        </w:rPr>
        <w:t xml:space="preserve"> a été </w:t>
      </w:r>
      <w:r w:rsidR="00891E6B">
        <w:rPr>
          <w:rFonts w:asciiTheme="majorHAnsi" w:hAnsiTheme="majorHAnsi"/>
          <w:sz w:val="20"/>
          <w:szCs w:val="20"/>
          <w:lang w:val="fr-CH"/>
        </w:rPr>
        <w:t>agréé</w:t>
      </w:r>
      <w:r w:rsidRPr="00D91731">
        <w:rPr>
          <w:rFonts w:asciiTheme="majorHAnsi" w:hAnsiTheme="majorHAnsi"/>
          <w:sz w:val="20"/>
          <w:szCs w:val="20"/>
          <w:lang w:val="fr-CH"/>
        </w:rPr>
        <w:t xml:space="preserve">e. Cette loi a été ratifiée six ans plus tard, en 1999, sous le nom de </w:t>
      </w:r>
      <w:r w:rsidRPr="00D91731">
        <w:rPr>
          <w:rFonts w:asciiTheme="majorHAnsi" w:hAnsiTheme="majorHAnsi"/>
          <w:i/>
          <w:sz w:val="20"/>
          <w:szCs w:val="20"/>
          <w:lang w:val="fr-CH"/>
        </w:rPr>
        <w:t>Loi sur le Nunavut</w:t>
      </w:r>
      <w:r w:rsidRPr="00D91731">
        <w:rPr>
          <w:rFonts w:asciiTheme="majorHAnsi" w:hAnsiTheme="majorHAnsi"/>
          <w:sz w:val="20"/>
          <w:szCs w:val="20"/>
          <w:lang w:val="fr-CH"/>
        </w:rPr>
        <w:t>.</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Bien qu’un protocole de négociations ait été convenu en 2008 par le gouvernement du Canada, le gouvernement du Nunavut et par le Nunavut </w:t>
      </w:r>
      <w:proofErr w:type="spellStart"/>
      <w:r w:rsidRPr="00D91731">
        <w:rPr>
          <w:rFonts w:asciiTheme="majorHAnsi" w:hAnsiTheme="majorHAnsi"/>
          <w:sz w:val="20"/>
          <w:szCs w:val="20"/>
          <w:lang w:val="fr-CH"/>
        </w:rPr>
        <w:t>Tunngavik</w:t>
      </w:r>
      <w:proofErr w:type="spellEnd"/>
      <w:r w:rsidRPr="00D91731">
        <w:rPr>
          <w:rFonts w:asciiTheme="majorHAnsi" w:hAnsiTheme="majorHAnsi"/>
          <w:sz w:val="20"/>
          <w:szCs w:val="20"/>
          <w:lang w:val="fr-CH"/>
        </w:rPr>
        <w:t xml:space="preserve"> Inc., la question de la gestion des ressources est loin d’avoir été réglée. Ce </w:t>
      </w:r>
      <w:r w:rsidRPr="00D91731">
        <w:rPr>
          <w:rFonts w:asciiTheme="majorHAnsi" w:hAnsiTheme="majorHAnsi"/>
          <w:i/>
          <w:sz w:val="20"/>
          <w:szCs w:val="20"/>
          <w:lang w:val="fr-CH"/>
        </w:rPr>
        <w:t>Protocole de négociation du transfert des responsabilités en matière de terres et de ressources au Nunavut</w:t>
      </w:r>
      <w:r w:rsidRPr="00D91731">
        <w:rPr>
          <w:rFonts w:asciiTheme="majorHAnsi" w:hAnsiTheme="majorHAnsi"/>
          <w:sz w:val="20"/>
          <w:szCs w:val="20"/>
          <w:lang w:val="fr-CH"/>
        </w:rPr>
        <w:t xml:space="preserve"> identifie les sujets de discussion qui sont sur la table des négociations. Les sujets de discussion prévus touchent le transfert de l’administration, les droits et les contrôles des terres, les droits sur l’eau, les divers pouvoirs de légiférer et les responsabilités sur la gestion du territoire. Il est également prévu qu’une proportion importante des ressources humaines mobilisées pour la gestion des terres, des eaux et des ressources soit transférée par le gouvernement central au gouvernement du Nunavut. Ces transferts laissent entrevoir que des ressources fiscales seront mises à la disposition du nouveau gouvernement pour qu’il puisse assumer pleinement ses nouvelles responsabilités.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Dans le domaine des ressources naturelles, le protocole de 2008 traite principalement du pétrole et du gaz. Dans le cadre de ce protocole, le gouvernement du Nunavut et le Nunavut </w:t>
      </w:r>
      <w:proofErr w:type="spellStart"/>
      <w:r w:rsidRPr="00D91731">
        <w:rPr>
          <w:rFonts w:asciiTheme="majorHAnsi" w:hAnsiTheme="majorHAnsi"/>
          <w:sz w:val="20"/>
          <w:szCs w:val="20"/>
          <w:lang w:val="fr-CH"/>
        </w:rPr>
        <w:t>Tunngavik</w:t>
      </w:r>
      <w:proofErr w:type="spellEnd"/>
      <w:r w:rsidRPr="00D91731">
        <w:rPr>
          <w:rFonts w:asciiTheme="majorHAnsi" w:hAnsiTheme="majorHAnsi"/>
          <w:sz w:val="20"/>
          <w:szCs w:val="20"/>
          <w:lang w:val="fr-CH"/>
        </w:rPr>
        <w:t xml:space="preserve"> Inc. ont fait savoir qu’ils revendiquaient le transfert du « contrôle des terres et des ressources de la Couronne dans tous les secteurs, y compris les zones côtières et le fond marin. » De plus, ils considèrent qu’aucune distinction ne doit être établie entre « les régimes de gestion des ressources s’appliquant aux zones côtières et au fond marin, ainsi que dans les zones marines et à leur proximité. »  Tout au cours des discussions, Ottawa s’est montré très discret au sujet de la question des ressources du fond marin (incluant les ressources pétrolières et gazières des zones côtières et des fonds marins), mais s’est toutefois engagé à discuter de cette question éventuellement. En bref, les parties s’engagent à discuter du transfert de responsabilités dans le domaine de la gestion du territoire et des ressources et à déterminer le « partage des recettes tirées de l’exploitation des ressources et le solde fiscal du Nunavut » dans des délais raisonnables.</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Le protocole signé en 2008 a été </w:t>
      </w:r>
      <w:r w:rsidR="00C339E8">
        <w:rPr>
          <w:rFonts w:asciiTheme="majorHAnsi" w:hAnsiTheme="majorHAnsi"/>
          <w:sz w:val="20"/>
          <w:szCs w:val="20"/>
          <w:lang w:val="fr-CH"/>
        </w:rPr>
        <w:t>amélior</w:t>
      </w:r>
      <w:r w:rsidRPr="00D91731">
        <w:rPr>
          <w:rFonts w:asciiTheme="majorHAnsi" w:hAnsiTheme="majorHAnsi"/>
          <w:sz w:val="20"/>
          <w:szCs w:val="20"/>
          <w:lang w:val="fr-CH"/>
        </w:rPr>
        <w:t xml:space="preserve">é l’année suivante alors qu’Ottawa convenait de permettre au gouvernement du Nunavut et au Nunavut </w:t>
      </w:r>
      <w:proofErr w:type="spellStart"/>
      <w:r w:rsidRPr="00D91731">
        <w:rPr>
          <w:rFonts w:asciiTheme="majorHAnsi" w:hAnsiTheme="majorHAnsi"/>
          <w:sz w:val="20"/>
          <w:szCs w:val="20"/>
          <w:lang w:val="fr-CH"/>
        </w:rPr>
        <w:t>Tunngavik</w:t>
      </w:r>
      <w:proofErr w:type="spellEnd"/>
      <w:r w:rsidRPr="00D91731">
        <w:rPr>
          <w:rFonts w:asciiTheme="majorHAnsi" w:hAnsiTheme="majorHAnsi"/>
          <w:sz w:val="20"/>
          <w:szCs w:val="20"/>
          <w:lang w:val="fr-CH"/>
        </w:rPr>
        <w:t xml:space="preserve"> Inc. de tirer des profits « de toute découverte de ressources naturelles ou minérales, y compris de la découverte de diamants et de cheminées de kimberlite diamantifères situées sous de petits lacs</w:t>
      </w:r>
      <w:r w:rsidR="00C339E8" w:rsidRPr="003061F8">
        <w:rPr>
          <w:rStyle w:val="FootnoteReference"/>
          <w:rFonts w:asciiTheme="majorHAnsi" w:hAnsiTheme="majorHAnsi"/>
          <w:sz w:val="20"/>
          <w:szCs w:val="20"/>
        </w:rPr>
        <w:footnoteReference w:id="16"/>
      </w:r>
      <w:r w:rsidR="00C339E8">
        <w:rPr>
          <w:rFonts w:asciiTheme="majorHAnsi" w:hAnsiTheme="majorHAnsi"/>
          <w:sz w:val="20"/>
          <w:szCs w:val="20"/>
          <w:lang w:val="fr-CH"/>
        </w:rPr>
        <w:t>.</w:t>
      </w:r>
      <w:r w:rsidRPr="00D91731">
        <w:rPr>
          <w:rFonts w:asciiTheme="majorHAnsi" w:hAnsiTheme="majorHAnsi"/>
          <w:sz w:val="20"/>
          <w:szCs w:val="20"/>
          <w:lang w:val="fr-CH"/>
        </w:rPr>
        <w:t xml:space="preserve"> » </w:t>
      </w:r>
    </w:p>
    <w:p w:rsidR="001828DE" w:rsidRDefault="001828DE">
      <w:pPr>
        <w:spacing w:line="360" w:lineRule="auto"/>
        <w:jc w:val="both"/>
        <w:rPr>
          <w:rFonts w:asciiTheme="majorHAnsi" w:hAnsiTheme="majorHAnsi"/>
          <w:sz w:val="20"/>
          <w:szCs w:val="20"/>
          <w:lang w:val="fr-CH"/>
        </w:rPr>
      </w:pPr>
    </w:p>
    <w:p w:rsidR="001828DE" w:rsidRDefault="00D91731" w:rsidP="008B0D7D">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Il importe de mentionner ici que la Constitution canadienne </w:t>
      </w:r>
      <w:r w:rsidR="00C339E8">
        <w:rPr>
          <w:rFonts w:asciiTheme="majorHAnsi" w:hAnsiTheme="majorHAnsi"/>
          <w:sz w:val="20"/>
          <w:szCs w:val="20"/>
          <w:lang w:val="fr-CH"/>
        </w:rPr>
        <w:t>dispos</w:t>
      </w:r>
      <w:r w:rsidRPr="00D91731">
        <w:rPr>
          <w:rFonts w:asciiTheme="majorHAnsi" w:hAnsiTheme="majorHAnsi"/>
          <w:sz w:val="20"/>
          <w:szCs w:val="20"/>
          <w:lang w:val="fr-CH"/>
        </w:rPr>
        <w:t>e que la r</w:t>
      </w:r>
      <w:r w:rsidR="00C339E8">
        <w:rPr>
          <w:rFonts w:asciiTheme="majorHAnsi" w:hAnsiTheme="majorHAnsi"/>
          <w:sz w:val="20"/>
          <w:szCs w:val="20"/>
          <w:lang w:val="fr-CH"/>
        </w:rPr>
        <w:t>é</w:t>
      </w:r>
      <w:r w:rsidRPr="00D91731">
        <w:rPr>
          <w:rFonts w:asciiTheme="majorHAnsi" w:hAnsiTheme="majorHAnsi"/>
          <w:sz w:val="20"/>
          <w:szCs w:val="20"/>
          <w:lang w:val="fr-CH"/>
        </w:rPr>
        <w:t xml:space="preserve">glementation et l’exploitation des ressources minières sur les terres publiques louées à bail relèvent des provinces ou des territoires.  Dans le cas du Nunavut, les choses sont quelque peu différentes. Selon les informations disponibles sur le site du ministère des Ressources naturelles du Canada, on avance que « l’exploration et l’exploitation minières continuent d’être réglementées par le </w:t>
      </w:r>
      <w:r w:rsidR="00C339E8">
        <w:rPr>
          <w:rFonts w:asciiTheme="majorHAnsi" w:hAnsiTheme="majorHAnsi"/>
          <w:sz w:val="20"/>
          <w:szCs w:val="20"/>
          <w:lang w:val="fr-CH"/>
        </w:rPr>
        <w:t>B</w:t>
      </w:r>
      <w:r w:rsidRPr="00D91731">
        <w:rPr>
          <w:rFonts w:asciiTheme="majorHAnsi" w:hAnsiTheme="majorHAnsi"/>
          <w:sz w:val="20"/>
          <w:szCs w:val="20"/>
          <w:lang w:val="fr-CH"/>
        </w:rPr>
        <w:t xml:space="preserve">ureau des </w:t>
      </w:r>
      <w:r w:rsidR="00C339E8">
        <w:rPr>
          <w:rFonts w:asciiTheme="majorHAnsi" w:hAnsiTheme="majorHAnsi"/>
          <w:sz w:val="20"/>
          <w:szCs w:val="20"/>
          <w:lang w:val="fr-CH"/>
        </w:rPr>
        <w:t>Territoires du Nord-Ouest (</w:t>
      </w:r>
      <w:r w:rsidRPr="00D91731">
        <w:rPr>
          <w:rFonts w:asciiTheme="majorHAnsi" w:hAnsiTheme="majorHAnsi"/>
          <w:sz w:val="20"/>
          <w:szCs w:val="20"/>
          <w:lang w:val="fr-CH"/>
        </w:rPr>
        <w:t>T.N.-O.</w:t>
      </w:r>
      <w:r w:rsidR="00C339E8">
        <w:rPr>
          <w:rFonts w:asciiTheme="majorHAnsi" w:hAnsiTheme="majorHAnsi"/>
          <w:sz w:val="20"/>
          <w:szCs w:val="20"/>
          <w:lang w:val="fr-CH"/>
        </w:rPr>
        <w:t>)</w:t>
      </w:r>
      <w:r w:rsidRPr="00D91731">
        <w:rPr>
          <w:rFonts w:asciiTheme="majorHAnsi" w:hAnsiTheme="majorHAnsi"/>
          <w:sz w:val="20"/>
          <w:szCs w:val="20"/>
          <w:lang w:val="fr-CH"/>
        </w:rPr>
        <w:t xml:space="preserve"> </w:t>
      </w:r>
      <w:proofErr w:type="gramStart"/>
      <w:r w:rsidRPr="00D91731">
        <w:rPr>
          <w:rFonts w:asciiTheme="majorHAnsi" w:hAnsiTheme="majorHAnsi"/>
          <w:sz w:val="20"/>
          <w:szCs w:val="20"/>
          <w:lang w:val="fr-CH"/>
        </w:rPr>
        <w:t>du</w:t>
      </w:r>
      <w:proofErr w:type="gramEnd"/>
      <w:r w:rsidRPr="00D91731">
        <w:rPr>
          <w:rFonts w:asciiTheme="majorHAnsi" w:hAnsiTheme="majorHAnsi"/>
          <w:sz w:val="20"/>
          <w:szCs w:val="20"/>
          <w:lang w:val="fr-CH"/>
        </w:rPr>
        <w:t xml:space="preserve"> ministère des Affaires indiennes et du Nord canadien</w:t>
      </w:r>
      <w:r w:rsidRPr="00D91731">
        <w:rPr>
          <w:rStyle w:val="FootnoteReference"/>
          <w:rFonts w:asciiTheme="majorHAnsi" w:hAnsiTheme="majorHAnsi"/>
          <w:sz w:val="20"/>
          <w:szCs w:val="20"/>
        </w:rPr>
        <w:footnoteReference w:id="17"/>
      </w:r>
      <w:r w:rsidRPr="00D91731">
        <w:rPr>
          <w:rFonts w:asciiTheme="majorHAnsi" w:hAnsiTheme="majorHAnsi"/>
          <w:sz w:val="20"/>
          <w:szCs w:val="20"/>
          <w:lang w:val="fr-CH"/>
        </w:rPr>
        <w:t>.</w:t>
      </w:r>
    </w:p>
    <w:p w:rsidR="00321B41" w:rsidRDefault="00321B41" w:rsidP="008B0D7D">
      <w:pPr>
        <w:spacing w:line="360" w:lineRule="auto"/>
        <w:jc w:val="both"/>
        <w:rPr>
          <w:rFonts w:asciiTheme="majorHAnsi" w:hAnsiTheme="majorHAnsi"/>
          <w:sz w:val="20"/>
          <w:szCs w:val="20"/>
          <w:lang w:val="fr-CH"/>
        </w:rPr>
      </w:pPr>
    </w:p>
    <w:p w:rsidR="001828DE" w:rsidRPr="00321B41" w:rsidRDefault="009D5457">
      <w:pPr>
        <w:spacing w:line="360" w:lineRule="auto"/>
        <w:jc w:val="center"/>
        <w:rPr>
          <w:rFonts w:asciiTheme="majorHAnsi" w:hAnsiTheme="majorHAnsi"/>
          <w:b/>
          <w:sz w:val="20"/>
          <w:szCs w:val="20"/>
          <w:lang w:val="fr-CH"/>
        </w:rPr>
      </w:pPr>
      <w:r>
        <w:rPr>
          <w:rFonts w:asciiTheme="majorHAnsi" w:hAnsiTheme="majorHAnsi"/>
          <w:b/>
          <w:sz w:val="20"/>
          <w:szCs w:val="20"/>
          <w:lang w:val="fr-CH"/>
        </w:rPr>
        <w:t xml:space="preserve">Carte 1 : </w:t>
      </w:r>
      <w:r w:rsidR="00F9767F" w:rsidRPr="00F9767F">
        <w:rPr>
          <w:rFonts w:asciiTheme="majorHAnsi" w:hAnsiTheme="majorHAnsi"/>
          <w:b/>
          <w:sz w:val="20"/>
          <w:szCs w:val="20"/>
          <w:lang w:val="fr-CH"/>
        </w:rPr>
        <w:t>Provinces et territoires, Canada</w:t>
      </w:r>
    </w:p>
    <w:p w:rsidR="00000000" w:rsidRDefault="001828DE">
      <w:pPr>
        <w:spacing w:line="360" w:lineRule="auto"/>
        <w:jc w:val="center"/>
        <w:rPr>
          <w:rFonts w:asciiTheme="majorHAnsi" w:hAnsiTheme="majorHAnsi"/>
          <w:sz w:val="20"/>
          <w:szCs w:val="20"/>
        </w:rPr>
      </w:pPr>
      <w:r>
        <w:rPr>
          <w:rFonts w:asciiTheme="majorHAnsi" w:hAnsiTheme="majorHAnsi"/>
          <w:noProof/>
          <w:sz w:val="20"/>
          <w:szCs w:val="20"/>
          <w:lang w:val="en-US" w:eastAsia="en-US"/>
        </w:rPr>
        <w:drawing>
          <wp:inline distT="0" distB="0" distL="0" distR="0">
            <wp:extent cx="4664963" cy="3431933"/>
            <wp:effectExtent l="19050" t="0" r="2287"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9095" cy="3434973"/>
                    </a:xfrm>
                    <a:prstGeom prst="rect">
                      <a:avLst/>
                    </a:prstGeom>
                    <a:noFill/>
                    <a:ln w="9525">
                      <a:noFill/>
                      <a:miter lim="800000"/>
                      <a:headEnd/>
                      <a:tailEnd/>
                    </a:ln>
                  </pic:spPr>
                </pic:pic>
              </a:graphicData>
            </a:graphic>
          </wp:inline>
        </w:drawing>
      </w:r>
    </w:p>
    <w:p w:rsidR="001828DE" w:rsidRDefault="00D91731">
      <w:pPr>
        <w:spacing w:line="360" w:lineRule="auto"/>
        <w:rPr>
          <w:rFonts w:asciiTheme="majorHAnsi" w:hAnsiTheme="majorHAnsi"/>
          <w:sz w:val="20"/>
          <w:szCs w:val="20"/>
          <w:lang w:val="fr-CH"/>
        </w:rPr>
      </w:pPr>
      <w:r w:rsidRPr="00D91731">
        <w:rPr>
          <w:rFonts w:asciiTheme="majorHAnsi" w:hAnsiTheme="majorHAnsi"/>
          <w:sz w:val="20"/>
          <w:szCs w:val="20"/>
          <w:lang w:val="fr-CH"/>
        </w:rPr>
        <w:t>Source : http://www.threecordministries.org/ArcticMaps.html</w:t>
      </w:r>
    </w:p>
    <w:p w:rsidR="00321B41" w:rsidRDefault="00321B41">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 xml:space="preserve">Il faut aussi savoir qu’en vue de disposer d’une revendication territoriale de la communauté </w:t>
      </w:r>
      <w:proofErr w:type="spellStart"/>
      <w:r w:rsidRPr="00D91731">
        <w:rPr>
          <w:rFonts w:asciiTheme="majorHAnsi" w:hAnsiTheme="majorHAnsi"/>
          <w:sz w:val="20"/>
          <w:szCs w:val="20"/>
          <w:lang w:val="fr-CH"/>
        </w:rPr>
        <w:t>inuite</w:t>
      </w:r>
      <w:proofErr w:type="spellEnd"/>
      <w:r w:rsidRPr="00D91731">
        <w:rPr>
          <w:rFonts w:asciiTheme="majorHAnsi" w:hAnsiTheme="majorHAnsi"/>
          <w:sz w:val="20"/>
          <w:szCs w:val="20"/>
          <w:lang w:val="fr-CH"/>
        </w:rPr>
        <w:t>, le gouvernement du Canada a transféré à celle-ci les droits miniers pour environ 10</w:t>
      </w:r>
      <w:r w:rsidR="00C339E8">
        <w:rPr>
          <w:rFonts w:asciiTheme="majorHAnsi" w:hAnsiTheme="majorHAnsi"/>
          <w:sz w:val="20"/>
          <w:szCs w:val="20"/>
          <w:lang w:val="fr-CH"/>
        </w:rPr>
        <w:t> </w:t>
      </w:r>
      <w:r w:rsidRPr="00D91731">
        <w:rPr>
          <w:rFonts w:asciiTheme="majorHAnsi" w:hAnsiTheme="majorHAnsi"/>
          <w:sz w:val="20"/>
          <w:szCs w:val="20"/>
          <w:lang w:val="fr-CH"/>
        </w:rPr>
        <w:t xml:space="preserve">% du territoire </w:t>
      </w:r>
      <w:proofErr w:type="spellStart"/>
      <w:r w:rsidRPr="00D91731">
        <w:rPr>
          <w:rFonts w:asciiTheme="majorHAnsi" w:hAnsiTheme="majorHAnsi"/>
          <w:sz w:val="20"/>
          <w:szCs w:val="20"/>
          <w:lang w:val="fr-CH"/>
        </w:rPr>
        <w:t>nunavutien</w:t>
      </w:r>
      <w:proofErr w:type="spellEnd"/>
      <w:r w:rsidRPr="00D91731">
        <w:rPr>
          <w:rFonts w:asciiTheme="majorHAnsi" w:hAnsiTheme="majorHAnsi"/>
          <w:sz w:val="20"/>
          <w:szCs w:val="20"/>
          <w:lang w:val="fr-CH"/>
        </w:rPr>
        <w:t xml:space="preserve">, sous la forme de grands blocs situés un peu partout sur le territoire. » (Communiqué : </w:t>
      </w:r>
      <w:hyperlink r:id="rId9" w:history="1">
        <w:r w:rsidRPr="00D91731">
          <w:rPr>
            <w:rStyle w:val="Hyperlink"/>
            <w:rFonts w:asciiTheme="majorHAnsi" w:hAnsiTheme="majorHAnsi"/>
            <w:sz w:val="20"/>
            <w:szCs w:val="20"/>
            <w:lang w:val="fr-CH"/>
          </w:rPr>
          <w:t>www.mcan.gc.ca/mineraux-metaux/politique/lois-reglements/3361</w:t>
        </w:r>
      </w:hyperlink>
      <w:r w:rsidRPr="00D91731">
        <w:rPr>
          <w:rFonts w:asciiTheme="majorHAnsi" w:hAnsiTheme="majorHAnsi"/>
          <w:sz w:val="20"/>
          <w:szCs w:val="20"/>
          <w:lang w:val="fr-CH"/>
        </w:rPr>
        <w:t>). Les ressources financières mobilisées de la sorte par le gouvernement du Nunavut permettront de soutenir le développement de la région sous ses divers aspects. Précisons enfin que</w:t>
      </w:r>
      <w:r w:rsidR="00C339E8">
        <w:rPr>
          <w:rFonts w:asciiTheme="majorHAnsi" w:hAnsiTheme="majorHAnsi"/>
          <w:sz w:val="20"/>
          <w:szCs w:val="20"/>
          <w:lang w:val="fr-CH"/>
        </w:rPr>
        <w:t>,</w:t>
      </w:r>
      <w:r w:rsidRPr="00D91731">
        <w:rPr>
          <w:rFonts w:asciiTheme="majorHAnsi" w:hAnsiTheme="majorHAnsi"/>
          <w:sz w:val="20"/>
          <w:szCs w:val="20"/>
          <w:lang w:val="fr-CH"/>
        </w:rPr>
        <w:t xml:space="preserve"> dans le domaine de l’approbation de l’exploitation des mines</w:t>
      </w:r>
      <w:r w:rsidR="00C339E8">
        <w:rPr>
          <w:rFonts w:asciiTheme="majorHAnsi" w:hAnsiTheme="majorHAnsi"/>
          <w:sz w:val="20"/>
          <w:szCs w:val="20"/>
          <w:lang w:val="fr-CH"/>
        </w:rPr>
        <w:t>,</w:t>
      </w:r>
      <w:r w:rsidRPr="00D91731">
        <w:rPr>
          <w:rFonts w:asciiTheme="majorHAnsi" w:hAnsiTheme="majorHAnsi"/>
          <w:sz w:val="20"/>
          <w:szCs w:val="20"/>
          <w:lang w:val="fr-CH"/>
        </w:rPr>
        <w:t xml:space="preserve"> le gouvernement central, bien que représentant un des partenaires en présence, conserve l’autorité ultime.</w:t>
      </w:r>
    </w:p>
    <w:p w:rsidR="001828DE" w:rsidRDefault="001828DE">
      <w:pPr>
        <w:spacing w:line="360" w:lineRule="auto"/>
        <w:jc w:val="both"/>
        <w:rPr>
          <w:rFonts w:asciiTheme="majorHAnsi" w:hAnsiTheme="majorHAnsi"/>
          <w:sz w:val="20"/>
          <w:szCs w:val="20"/>
          <w:lang w:val="fr-CH"/>
        </w:rPr>
      </w:pPr>
    </w:p>
    <w:p w:rsidR="001828DE" w:rsidRDefault="00D91731">
      <w:pPr>
        <w:spacing w:line="360" w:lineRule="auto"/>
        <w:jc w:val="both"/>
        <w:rPr>
          <w:rFonts w:asciiTheme="majorHAnsi" w:hAnsiTheme="majorHAnsi"/>
          <w:sz w:val="20"/>
          <w:szCs w:val="20"/>
          <w:lang w:val="fr-CH"/>
        </w:rPr>
      </w:pPr>
      <w:r w:rsidRPr="00D91731">
        <w:rPr>
          <w:rFonts w:asciiTheme="majorHAnsi" w:hAnsiTheme="majorHAnsi"/>
          <w:sz w:val="20"/>
          <w:szCs w:val="20"/>
          <w:lang w:val="fr-CH"/>
        </w:rPr>
        <w:t>Les responsabilités reconnues aux territoires (Yukon, Territoires du Nord-Ouest et Nunavut) s’approchent un peu de celles exercées par les provinces. Force est de noter que les territoires ont fait certains gains ces dernières années en augmentant leur contrôle au chapitre de</w:t>
      </w:r>
      <w:r w:rsidR="00C339E8">
        <w:rPr>
          <w:rFonts w:asciiTheme="majorHAnsi" w:hAnsiTheme="majorHAnsi"/>
          <w:sz w:val="20"/>
          <w:szCs w:val="20"/>
          <w:lang w:val="fr-CH"/>
        </w:rPr>
        <w:t xml:space="preserve"> </w:t>
      </w:r>
      <w:r w:rsidRPr="00D91731">
        <w:rPr>
          <w:rFonts w:asciiTheme="majorHAnsi" w:hAnsiTheme="majorHAnsi"/>
          <w:sz w:val="20"/>
          <w:szCs w:val="20"/>
          <w:lang w:val="fr-CH"/>
        </w:rPr>
        <w:t>la gestion des terres et des ressources naturelles. Les pouvoirs attribués aux territoires ne sont toutefois pas garantis par la Constitution et pourraient être modifiés au gré des changements de gouvernement à Ottawa. Cependant, une fois certains pouvoirs transférés aux territoires, il serait difficile d’imaginer que le gouvernement central puisse chercher à retirer l’une ou l’autre des responsabilités consenties aux territoires. Pour clore, mentionnons que la quête des peuples amérindiens en vue d’exercer tous les pouvoirs sur ces vastes espaces demeure un défi difficilement atteignable à court, et à moyen terme, et ce même si leur cause est perçue favorablement par des acteurs sociaux et des institutions gouvernementales et paragouvernementales de plus en plus nombreux.</w:t>
      </w:r>
    </w:p>
    <w:p w:rsidR="001828DE" w:rsidRDefault="001828DE">
      <w:pPr>
        <w:spacing w:line="360" w:lineRule="auto"/>
        <w:rPr>
          <w:rFonts w:asciiTheme="majorHAnsi" w:hAnsiTheme="majorHAnsi"/>
          <w:sz w:val="20"/>
          <w:szCs w:val="20"/>
          <w:lang w:val="fr-CH"/>
        </w:rPr>
      </w:pPr>
    </w:p>
    <w:p w:rsidR="001828DE" w:rsidRPr="009D5457" w:rsidRDefault="00C339E8">
      <w:pPr>
        <w:spacing w:line="360" w:lineRule="auto"/>
        <w:rPr>
          <w:rFonts w:asciiTheme="majorHAnsi" w:hAnsiTheme="majorHAnsi"/>
          <w:color w:val="FF0000"/>
          <w:sz w:val="20"/>
          <w:szCs w:val="20"/>
          <w:lang w:val="fr-CH"/>
        </w:rPr>
      </w:pPr>
      <w:r w:rsidRPr="009D5457">
        <w:rPr>
          <w:rFonts w:asciiTheme="majorHAnsi" w:hAnsiTheme="majorHAnsi"/>
          <w:color w:val="FF0000"/>
          <w:sz w:val="20"/>
          <w:szCs w:val="20"/>
          <w:lang w:val="fr-CH"/>
        </w:rPr>
        <w:t>S’agissant du statut autonome de la Région du Sahara proposé par le Maroc, notons les points de comparaison suivants :</w:t>
      </w:r>
    </w:p>
    <w:p w:rsidR="001828DE" w:rsidRPr="009D5457" w:rsidRDefault="001828DE">
      <w:pPr>
        <w:spacing w:line="360" w:lineRule="auto"/>
        <w:jc w:val="both"/>
        <w:rPr>
          <w:rFonts w:asciiTheme="majorHAnsi" w:hAnsiTheme="majorHAnsi"/>
          <w:color w:val="FF0000"/>
          <w:sz w:val="20"/>
          <w:szCs w:val="20"/>
          <w:lang w:val="fr-CH"/>
        </w:rPr>
      </w:pPr>
    </w:p>
    <w:p w:rsidR="001828DE" w:rsidRPr="009D5457" w:rsidRDefault="00C339E8">
      <w:pPr>
        <w:pStyle w:val="ListParagraph"/>
        <w:numPr>
          <w:ilvl w:val="0"/>
          <w:numId w:val="14"/>
        </w:numPr>
        <w:spacing w:line="360" w:lineRule="auto"/>
        <w:jc w:val="both"/>
        <w:rPr>
          <w:rFonts w:asciiTheme="majorHAnsi" w:hAnsiTheme="majorHAnsi"/>
          <w:color w:val="FF0000"/>
          <w:sz w:val="20"/>
          <w:szCs w:val="20"/>
          <w:lang w:val="fr-CH"/>
        </w:rPr>
      </w:pPr>
      <w:r w:rsidRPr="009D5457">
        <w:rPr>
          <w:rFonts w:asciiTheme="majorHAnsi" w:hAnsiTheme="majorHAnsi"/>
          <w:color w:val="FF0000"/>
          <w:sz w:val="20"/>
          <w:szCs w:val="20"/>
          <w:lang w:val="fr-CH"/>
        </w:rPr>
        <w:t>la reconnaissance, comme au Canada, de l’importance des ressources naturelles aussi bien en tant que source de revenus et de développement qu’en tant que potentiel stratégique à long terme ;</w:t>
      </w:r>
    </w:p>
    <w:p w:rsidR="001828DE" w:rsidRPr="009D5457" w:rsidRDefault="00C339E8">
      <w:pPr>
        <w:pStyle w:val="ListParagraph"/>
        <w:numPr>
          <w:ilvl w:val="0"/>
          <w:numId w:val="14"/>
        </w:numPr>
        <w:spacing w:line="360" w:lineRule="auto"/>
        <w:jc w:val="both"/>
        <w:rPr>
          <w:rFonts w:asciiTheme="majorHAnsi" w:hAnsiTheme="majorHAnsi"/>
          <w:color w:val="FF0000"/>
          <w:sz w:val="20"/>
          <w:szCs w:val="20"/>
          <w:lang w:val="fr-CH"/>
        </w:rPr>
      </w:pPr>
      <w:r w:rsidRPr="009D5457">
        <w:rPr>
          <w:rFonts w:asciiTheme="majorHAnsi" w:hAnsiTheme="majorHAnsi"/>
          <w:color w:val="FF0000"/>
          <w:sz w:val="20"/>
          <w:szCs w:val="20"/>
          <w:lang w:val="fr-CH"/>
        </w:rPr>
        <w:t>la volonté, également partagée au Canada, de concilier, grâce à la négociation entre toutes les parties concernées, les besoins de développement autonome des populations locales et la préservation des compétences régaliennes de l’État central ;</w:t>
      </w:r>
    </w:p>
    <w:p w:rsidR="001828DE" w:rsidRPr="009D5457" w:rsidRDefault="0080796D">
      <w:pPr>
        <w:pStyle w:val="ListParagraph"/>
        <w:numPr>
          <w:ilvl w:val="0"/>
          <w:numId w:val="14"/>
        </w:numPr>
        <w:spacing w:line="360" w:lineRule="auto"/>
        <w:jc w:val="both"/>
        <w:rPr>
          <w:rFonts w:asciiTheme="majorHAnsi" w:hAnsiTheme="majorHAnsi"/>
          <w:color w:val="FF0000"/>
          <w:sz w:val="20"/>
          <w:szCs w:val="20"/>
          <w:lang w:val="fr-CH"/>
        </w:rPr>
      </w:pPr>
      <w:r w:rsidRPr="009D5457">
        <w:rPr>
          <w:rFonts w:asciiTheme="majorHAnsi" w:hAnsiTheme="majorHAnsi"/>
          <w:color w:val="FF0000"/>
          <w:sz w:val="20"/>
          <w:szCs w:val="20"/>
          <w:lang w:val="fr-CH"/>
        </w:rPr>
        <w:t>l</w:t>
      </w:r>
      <w:r w:rsidR="00763587" w:rsidRPr="009D5457">
        <w:rPr>
          <w:rFonts w:asciiTheme="majorHAnsi" w:hAnsiTheme="majorHAnsi"/>
          <w:color w:val="FF0000"/>
          <w:sz w:val="20"/>
          <w:szCs w:val="20"/>
          <w:lang w:val="fr-CH"/>
        </w:rPr>
        <w:t>e développement embryonnaire</w:t>
      </w:r>
      <w:r w:rsidRPr="009D5457">
        <w:rPr>
          <w:rFonts w:asciiTheme="majorHAnsi" w:hAnsiTheme="majorHAnsi"/>
          <w:color w:val="FF0000"/>
          <w:sz w:val="20"/>
          <w:szCs w:val="20"/>
          <w:lang w:val="fr-CH"/>
        </w:rPr>
        <w:t xml:space="preserve">, contrairement au Canada (du moins pour le cas du </w:t>
      </w:r>
      <w:proofErr w:type="spellStart"/>
      <w:r w:rsidRPr="009D5457">
        <w:rPr>
          <w:rFonts w:asciiTheme="majorHAnsi" w:hAnsiTheme="majorHAnsi"/>
          <w:color w:val="FF0000"/>
          <w:sz w:val="20"/>
          <w:szCs w:val="20"/>
          <w:lang w:val="fr-CH"/>
        </w:rPr>
        <w:t>Nunavik</w:t>
      </w:r>
      <w:proofErr w:type="spellEnd"/>
      <w:r w:rsidRPr="009D5457">
        <w:rPr>
          <w:rFonts w:asciiTheme="majorHAnsi" w:hAnsiTheme="majorHAnsi"/>
          <w:color w:val="FF0000"/>
          <w:sz w:val="20"/>
          <w:szCs w:val="20"/>
          <w:lang w:val="fr-CH"/>
        </w:rPr>
        <w:t>)</w:t>
      </w:r>
      <w:r w:rsidR="00E31F8E" w:rsidRPr="009D5457">
        <w:rPr>
          <w:rFonts w:asciiTheme="majorHAnsi" w:hAnsiTheme="majorHAnsi"/>
          <w:color w:val="FF0000"/>
          <w:sz w:val="20"/>
          <w:szCs w:val="20"/>
          <w:lang w:val="fr-CH"/>
        </w:rPr>
        <w:t>,</w:t>
      </w:r>
      <w:r w:rsidRPr="009D5457">
        <w:rPr>
          <w:rFonts w:asciiTheme="majorHAnsi" w:hAnsiTheme="majorHAnsi"/>
          <w:color w:val="FF0000"/>
          <w:sz w:val="20"/>
          <w:szCs w:val="20"/>
          <w:lang w:val="fr-CH"/>
        </w:rPr>
        <w:t xml:space="preserve"> des relations entre</w:t>
      </w:r>
      <w:r w:rsidR="00E31F8E" w:rsidRPr="009D5457">
        <w:rPr>
          <w:rFonts w:asciiTheme="majorHAnsi" w:hAnsiTheme="majorHAnsi"/>
          <w:color w:val="FF0000"/>
          <w:sz w:val="20"/>
          <w:szCs w:val="20"/>
          <w:lang w:val="fr-CH"/>
        </w:rPr>
        <w:t xml:space="preserve"> deux échelons</w:t>
      </w:r>
      <w:r w:rsidR="00763587" w:rsidRPr="009D5457">
        <w:rPr>
          <w:rFonts w:asciiTheme="majorHAnsi" w:hAnsiTheme="majorHAnsi"/>
          <w:color w:val="FF0000"/>
          <w:sz w:val="20"/>
          <w:szCs w:val="20"/>
          <w:lang w:val="fr-CH"/>
        </w:rPr>
        <w:t xml:space="preserve"> pour l’instant</w:t>
      </w:r>
      <w:r w:rsidR="00E31F8E" w:rsidRPr="009D5457">
        <w:rPr>
          <w:rFonts w:asciiTheme="majorHAnsi" w:hAnsiTheme="majorHAnsi"/>
          <w:color w:val="FF0000"/>
          <w:sz w:val="20"/>
          <w:szCs w:val="20"/>
          <w:lang w:val="fr-CH"/>
        </w:rPr>
        <w:t>,</w:t>
      </w:r>
      <w:r w:rsidRPr="009D5457">
        <w:rPr>
          <w:rFonts w:asciiTheme="majorHAnsi" w:hAnsiTheme="majorHAnsi"/>
          <w:color w:val="FF0000"/>
          <w:sz w:val="20"/>
          <w:szCs w:val="20"/>
          <w:lang w:val="fr-CH"/>
        </w:rPr>
        <w:t xml:space="preserve"> un gouvernement central et une région autonome, même si cette dernière devrait probablement inclure un niveau municipal de décentralisation ;</w:t>
      </w:r>
    </w:p>
    <w:p w:rsidR="001828DE" w:rsidRPr="009D5457" w:rsidRDefault="0080796D">
      <w:pPr>
        <w:pStyle w:val="ListParagraph"/>
        <w:numPr>
          <w:ilvl w:val="0"/>
          <w:numId w:val="14"/>
        </w:numPr>
        <w:spacing w:line="360" w:lineRule="auto"/>
        <w:jc w:val="both"/>
        <w:rPr>
          <w:rFonts w:asciiTheme="majorHAnsi" w:hAnsiTheme="majorHAnsi"/>
          <w:color w:val="FF0000"/>
          <w:sz w:val="20"/>
          <w:szCs w:val="20"/>
          <w:lang w:val="fr-CH"/>
        </w:rPr>
      </w:pPr>
      <w:r w:rsidRPr="009D5457">
        <w:rPr>
          <w:rFonts w:asciiTheme="majorHAnsi" w:hAnsiTheme="majorHAnsi"/>
          <w:color w:val="FF0000"/>
          <w:sz w:val="20"/>
          <w:szCs w:val="20"/>
          <w:lang w:val="fr-CH"/>
        </w:rPr>
        <w:t>l’admission, comme au Canada, de la nécessité de compléter les ressources accordées à la région autonome par un éventuel complément de ressources fiscales provenant de la « solidarité nationale » (péréquation au Canada) ;</w:t>
      </w:r>
    </w:p>
    <w:p w:rsidR="001828DE" w:rsidRPr="009D5457" w:rsidRDefault="0080796D">
      <w:pPr>
        <w:pStyle w:val="ListParagraph"/>
        <w:numPr>
          <w:ilvl w:val="0"/>
          <w:numId w:val="14"/>
        </w:numPr>
        <w:spacing w:line="360" w:lineRule="auto"/>
        <w:jc w:val="both"/>
        <w:rPr>
          <w:rFonts w:asciiTheme="majorHAnsi" w:hAnsiTheme="majorHAnsi"/>
          <w:color w:val="FF0000"/>
          <w:sz w:val="20"/>
          <w:szCs w:val="20"/>
          <w:lang w:val="fr-CH"/>
        </w:rPr>
      </w:pPr>
      <w:r w:rsidRPr="009D5457">
        <w:rPr>
          <w:rFonts w:asciiTheme="majorHAnsi" w:hAnsiTheme="majorHAnsi"/>
          <w:color w:val="FF0000"/>
          <w:sz w:val="20"/>
          <w:szCs w:val="20"/>
          <w:lang w:val="fr-CH"/>
        </w:rPr>
        <w:t>l</w:t>
      </w:r>
      <w:r w:rsidR="00763587" w:rsidRPr="009D5457">
        <w:rPr>
          <w:rFonts w:asciiTheme="majorHAnsi" w:hAnsiTheme="majorHAnsi"/>
          <w:color w:val="FF0000"/>
          <w:sz w:val="20"/>
          <w:szCs w:val="20"/>
          <w:lang w:val="fr-CH"/>
        </w:rPr>
        <w:t xml:space="preserve">e souhait exprimé </w:t>
      </w:r>
      <w:r w:rsidR="00321B41" w:rsidRPr="009D5457">
        <w:rPr>
          <w:rFonts w:asciiTheme="majorHAnsi" w:hAnsiTheme="majorHAnsi"/>
          <w:color w:val="FF0000"/>
          <w:sz w:val="20"/>
          <w:szCs w:val="20"/>
          <w:lang w:val="fr-CH"/>
        </w:rPr>
        <w:t>par le</w:t>
      </w:r>
      <w:r w:rsidRPr="009D5457">
        <w:rPr>
          <w:rFonts w:asciiTheme="majorHAnsi" w:hAnsiTheme="majorHAnsi"/>
          <w:color w:val="FF0000"/>
          <w:sz w:val="20"/>
          <w:szCs w:val="20"/>
          <w:lang w:val="fr-CH"/>
        </w:rPr>
        <w:t xml:space="preserve"> gouvernement central </w:t>
      </w:r>
      <w:r w:rsidR="00321B41" w:rsidRPr="009D5457">
        <w:rPr>
          <w:rFonts w:asciiTheme="majorHAnsi" w:hAnsiTheme="majorHAnsi"/>
          <w:color w:val="FF0000"/>
          <w:sz w:val="20"/>
          <w:szCs w:val="20"/>
          <w:lang w:val="fr-CH"/>
        </w:rPr>
        <w:t>de</w:t>
      </w:r>
      <w:r w:rsidRPr="009D5457">
        <w:rPr>
          <w:rFonts w:asciiTheme="majorHAnsi" w:hAnsiTheme="majorHAnsi"/>
          <w:color w:val="FF0000"/>
          <w:sz w:val="20"/>
          <w:szCs w:val="20"/>
          <w:lang w:val="fr-CH"/>
        </w:rPr>
        <w:t xml:space="preserve"> négocier avec les parties concernées la responsabilité la plus large possible de la gestion des ressources naturelles par les populations autonomes et leurs institutions. </w:t>
      </w:r>
      <w:r w:rsidR="00E31F8E" w:rsidRPr="009D5457">
        <w:rPr>
          <w:rFonts w:asciiTheme="majorHAnsi" w:hAnsiTheme="majorHAnsi"/>
          <w:color w:val="FF0000"/>
          <w:sz w:val="20"/>
          <w:szCs w:val="20"/>
          <w:lang w:val="fr-CH"/>
        </w:rPr>
        <w:t>Dans le cas du</w:t>
      </w:r>
      <w:r w:rsidR="00D91731" w:rsidRPr="009D5457">
        <w:rPr>
          <w:rFonts w:asciiTheme="majorHAnsi" w:hAnsiTheme="majorHAnsi"/>
          <w:color w:val="FF0000"/>
          <w:sz w:val="20"/>
          <w:szCs w:val="20"/>
          <w:lang w:val="fr-CH"/>
        </w:rPr>
        <w:t xml:space="preserve"> Nunavut, le gouvernement fédéral négocie un partage des revenus et des compétences, et dans le cas de la Région du Sahara, le Maroc propose d’affecter à la Région autonome « les revenus de l'exploitation des ressources </w:t>
      </w:r>
      <w:r w:rsidR="00E31F8E" w:rsidRPr="009D5457">
        <w:rPr>
          <w:rFonts w:asciiTheme="majorHAnsi" w:hAnsiTheme="majorHAnsi"/>
          <w:color w:val="FF0000"/>
          <w:sz w:val="20"/>
          <w:szCs w:val="20"/>
          <w:lang w:val="fr-CH"/>
        </w:rPr>
        <w:t>naturelles affectés à la Région » et « l</w:t>
      </w:r>
      <w:r w:rsidR="00D91731" w:rsidRPr="009D5457">
        <w:rPr>
          <w:rFonts w:asciiTheme="majorHAnsi" w:hAnsiTheme="majorHAnsi"/>
          <w:color w:val="FF0000"/>
          <w:sz w:val="20"/>
          <w:szCs w:val="20"/>
          <w:lang w:val="fr-CH"/>
        </w:rPr>
        <w:t>a partie des revenus des ressources naturelles situées dans</w:t>
      </w:r>
      <w:r w:rsidR="00E31F8E" w:rsidRPr="009D5457">
        <w:rPr>
          <w:rFonts w:asciiTheme="majorHAnsi" w:hAnsiTheme="majorHAnsi"/>
          <w:color w:val="FF0000"/>
          <w:sz w:val="20"/>
          <w:szCs w:val="20"/>
          <w:lang w:val="fr-CH"/>
        </w:rPr>
        <w:t xml:space="preserve"> la Région et perçus par l'</w:t>
      </w:r>
      <w:r w:rsidR="00763587" w:rsidRPr="009D5457">
        <w:rPr>
          <w:rFonts w:asciiTheme="majorHAnsi" w:hAnsiTheme="majorHAnsi"/>
          <w:color w:val="FF0000"/>
          <w:sz w:val="20"/>
          <w:szCs w:val="20"/>
          <w:lang w:val="fr-CH"/>
        </w:rPr>
        <w:t>É</w:t>
      </w:r>
      <w:r w:rsidR="00E31F8E" w:rsidRPr="009D5457">
        <w:rPr>
          <w:rFonts w:asciiTheme="majorHAnsi" w:hAnsiTheme="majorHAnsi"/>
          <w:color w:val="FF0000"/>
          <w:sz w:val="20"/>
          <w:szCs w:val="20"/>
          <w:lang w:val="fr-CH"/>
        </w:rPr>
        <w:t>tat. »</w:t>
      </w:r>
    </w:p>
    <w:p w:rsidR="001828DE" w:rsidRPr="009D5457" w:rsidRDefault="001828DE">
      <w:pPr>
        <w:pStyle w:val="ListParagraph"/>
        <w:spacing w:line="360" w:lineRule="auto"/>
        <w:rPr>
          <w:rFonts w:asciiTheme="majorHAnsi" w:hAnsiTheme="majorHAnsi"/>
          <w:color w:val="FF0000"/>
          <w:sz w:val="20"/>
          <w:szCs w:val="20"/>
          <w:lang w:val="fr-CH"/>
        </w:rPr>
      </w:pPr>
    </w:p>
    <w:p w:rsidR="00000000" w:rsidRDefault="00E31F8E">
      <w:pPr>
        <w:pStyle w:val="ListParagraph"/>
        <w:spacing w:line="360" w:lineRule="auto"/>
        <w:ind w:left="0"/>
        <w:jc w:val="both"/>
        <w:rPr>
          <w:rFonts w:asciiTheme="majorHAnsi" w:hAnsiTheme="majorHAnsi"/>
          <w:color w:val="FF0000"/>
          <w:sz w:val="20"/>
          <w:szCs w:val="20"/>
          <w:lang w:val="fr-CH"/>
        </w:rPr>
      </w:pPr>
      <w:r w:rsidRPr="009D5457">
        <w:rPr>
          <w:rFonts w:asciiTheme="majorHAnsi" w:hAnsiTheme="majorHAnsi"/>
          <w:color w:val="FF0000"/>
          <w:sz w:val="20"/>
          <w:szCs w:val="20"/>
          <w:lang w:val="fr-CH"/>
        </w:rPr>
        <w:t>Au total, il semble que seule une négociation entre les différentes parties prenantes, dans un climat de confiance et de respect mutuels garantissant le maintien des droits reconnus nationalement sur la base des standards internationaux, comme le propose le Maroc</w:t>
      </w:r>
      <w:r w:rsidR="001A156F">
        <w:rPr>
          <w:rFonts w:asciiTheme="majorHAnsi" w:hAnsiTheme="majorHAnsi"/>
          <w:color w:val="FF0000"/>
          <w:sz w:val="20"/>
          <w:szCs w:val="20"/>
          <w:lang w:val="fr-CH"/>
        </w:rPr>
        <w:t xml:space="preserve">. À l’instar d’autres différends similaires, l’autonomie négociée offre </w:t>
      </w:r>
      <w:bookmarkStart w:id="0" w:name="_GoBack"/>
      <w:r w:rsidR="001A156F">
        <w:rPr>
          <w:rFonts w:asciiTheme="majorHAnsi" w:hAnsiTheme="majorHAnsi"/>
          <w:color w:val="FF0000"/>
          <w:sz w:val="20"/>
          <w:szCs w:val="20"/>
          <w:lang w:val="fr-CH"/>
        </w:rPr>
        <w:t xml:space="preserve">un </w:t>
      </w:r>
      <w:bookmarkEnd w:id="0"/>
      <w:r w:rsidR="001A156F">
        <w:rPr>
          <w:rFonts w:asciiTheme="majorHAnsi" w:hAnsiTheme="majorHAnsi"/>
          <w:color w:val="FF0000"/>
          <w:sz w:val="20"/>
          <w:szCs w:val="20"/>
          <w:lang w:val="fr-CH"/>
        </w:rPr>
        <w:t>cadre de solution de compromis, permettant de mettre fin à l’impasse actuelle et progresser, de manière substantielle et consensuelle,</w:t>
      </w:r>
      <w:r w:rsidR="001A156F" w:rsidRPr="009D5457">
        <w:rPr>
          <w:rFonts w:asciiTheme="majorHAnsi" w:hAnsiTheme="majorHAnsi"/>
          <w:color w:val="FF0000"/>
          <w:sz w:val="20"/>
          <w:szCs w:val="20"/>
          <w:lang w:val="fr-CH"/>
        </w:rPr>
        <w:t xml:space="preserve"> </w:t>
      </w:r>
      <w:r w:rsidR="001A156F">
        <w:rPr>
          <w:rFonts w:asciiTheme="majorHAnsi" w:hAnsiTheme="majorHAnsi"/>
          <w:color w:val="FF0000"/>
          <w:sz w:val="20"/>
          <w:szCs w:val="20"/>
          <w:lang w:val="fr-CH"/>
        </w:rPr>
        <w:t xml:space="preserve">vers une solution politique, définitive et mutuellement acceptable du différend régional sur le Sahara. </w:t>
      </w:r>
    </w:p>
    <w:p w:rsidR="001828DE" w:rsidRDefault="00E31F8E" w:rsidP="008B0D7D">
      <w:pPr>
        <w:rPr>
          <w:rFonts w:asciiTheme="majorHAnsi" w:hAnsiTheme="majorHAnsi"/>
          <w:sz w:val="20"/>
          <w:szCs w:val="20"/>
          <w:lang w:val="fr-CH"/>
        </w:rPr>
      </w:pPr>
      <w:r>
        <w:rPr>
          <w:rFonts w:asciiTheme="majorHAnsi" w:hAnsiTheme="majorHAnsi"/>
          <w:sz w:val="20"/>
          <w:szCs w:val="20"/>
          <w:lang w:val="fr-CH"/>
        </w:rPr>
        <w:br w:type="page"/>
      </w:r>
    </w:p>
    <w:p w:rsidR="001828DE" w:rsidRDefault="00D91731">
      <w:pPr>
        <w:spacing w:line="360" w:lineRule="auto"/>
        <w:jc w:val="center"/>
        <w:rPr>
          <w:rFonts w:asciiTheme="majorHAnsi" w:hAnsiTheme="majorHAnsi"/>
          <w:b/>
          <w:sz w:val="20"/>
          <w:szCs w:val="20"/>
          <w:lang w:val="fr-CH"/>
        </w:rPr>
      </w:pPr>
      <w:r w:rsidRPr="00D91731">
        <w:rPr>
          <w:rFonts w:asciiTheme="majorHAnsi" w:hAnsiTheme="majorHAnsi"/>
          <w:b/>
          <w:sz w:val="20"/>
          <w:szCs w:val="20"/>
          <w:lang w:val="fr-CH"/>
        </w:rPr>
        <w:t>Bibliographie</w:t>
      </w:r>
    </w:p>
    <w:p w:rsidR="001828DE" w:rsidRDefault="001828DE">
      <w:pPr>
        <w:spacing w:line="360" w:lineRule="auto"/>
        <w:rPr>
          <w:rFonts w:asciiTheme="majorHAnsi" w:hAnsiTheme="majorHAnsi"/>
          <w:sz w:val="20"/>
          <w:szCs w:val="20"/>
          <w:lang w:val="fr-CH"/>
        </w:rPr>
      </w:pPr>
    </w:p>
    <w:p w:rsidR="001828DE" w:rsidRDefault="00D91731">
      <w:pPr>
        <w:pStyle w:val="ListParagraph"/>
        <w:numPr>
          <w:ilvl w:val="0"/>
          <w:numId w:val="15"/>
        </w:numPr>
        <w:spacing w:line="360" w:lineRule="auto"/>
        <w:rPr>
          <w:rFonts w:asciiTheme="majorHAnsi" w:hAnsiTheme="majorHAnsi"/>
          <w:sz w:val="20"/>
          <w:szCs w:val="20"/>
          <w:lang w:val="fr-CH"/>
        </w:rPr>
      </w:pPr>
      <w:r w:rsidRPr="00D91731">
        <w:rPr>
          <w:rFonts w:asciiTheme="majorHAnsi" w:hAnsiTheme="majorHAnsi" w:cs="Times New Roman"/>
          <w:color w:val="000000"/>
          <w:sz w:val="20"/>
          <w:szCs w:val="20"/>
          <w:lang w:val="fr-CA" w:eastAsia="fr-FR"/>
        </w:rPr>
        <w:t xml:space="preserve">Beaudoin, Gérald-A. Beaudoin, </w:t>
      </w:r>
      <w:r w:rsidRPr="00D91731">
        <w:rPr>
          <w:rFonts w:asciiTheme="majorHAnsi" w:hAnsiTheme="majorHAnsi" w:cs="Times New Roman"/>
          <w:i/>
          <w:color w:val="000000"/>
          <w:sz w:val="20"/>
          <w:szCs w:val="20"/>
          <w:lang w:val="fr-CA" w:eastAsia="fr-FR"/>
        </w:rPr>
        <w:t>La Constitution du Canada</w:t>
      </w:r>
      <w:r w:rsidRPr="00D91731">
        <w:rPr>
          <w:rFonts w:asciiTheme="majorHAnsi" w:hAnsiTheme="majorHAnsi" w:cs="Times New Roman"/>
          <w:color w:val="000000"/>
          <w:sz w:val="20"/>
          <w:szCs w:val="20"/>
          <w:lang w:val="fr-CA" w:eastAsia="fr-FR"/>
        </w:rPr>
        <w:t>, Montréal, Wilson et Lafleur, 1990.</w:t>
      </w:r>
    </w:p>
    <w:p w:rsidR="001828DE" w:rsidRDefault="00D91731">
      <w:pPr>
        <w:pStyle w:val="ListParagraph"/>
        <w:numPr>
          <w:ilvl w:val="0"/>
          <w:numId w:val="15"/>
        </w:numPr>
        <w:spacing w:line="360" w:lineRule="auto"/>
        <w:rPr>
          <w:rFonts w:asciiTheme="majorHAnsi" w:hAnsiTheme="majorHAnsi"/>
          <w:sz w:val="20"/>
          <w:szCs w:val="20"/>
          <w:lang w:val="en-CA"/>
        </w:rPr>
      </w:pPr>
      <w:proofErr w:type="spellStart"/>
      <w:r w:rsidRPr="00D91731">
        <w:rPr>
          <w:rFonts w:asciiTheme="majorHAnsi" w:hAnsiTheme="majorHAnsi"/>
          <w:sz w:val="20"/>
          <w:szCs w:val="20"/>
          <w:lang w:val="fr-CH"/>
        </w:rPr>
        <w:t>Bickerton</w:t>
      </w:r>
      <w:proofErr w:type="spellEnd"/>
      <w:r w:rsidRPr="00D91731">
        <w:rPr>
          <w:rFonts w:asciiTheme="majorHAnsi" w:hAnsiTheme="majorHAnsi"/>
          <w:sz w:val="20"/>
          <w:szCs w:val="20"/>
          <w:lang w:val="fr-CH"/>
        </w:rPr>
        <w:t xml:space="preserve">, James et Alain-G. </w:t>
      </w:r>
      <w:r w:rsidRPr="00D91731">
        <w:rPr>
          <w:rFonts w:asciiTheme="majorHAnsi" w:hAnsiTheme="majorHAnsi"/>
          <w:sz w:val="20"/>
          <w:szCs w:val="20"/>
          <w:lang w:val="en-CA"/>
        </w:rPr>
        <w:t xml:space="preserve">Gagnon, « Regions » in </w:t>
      </w:r>
      <w:proofErr w:type="spellStart"/>
      <w:r w:rsidRPr="00D91731">
        <w:rPr>
          <w:rFonts w:asciiTheme="majorHAnsi" w:hAnsiTheme="majorHAnsi"/>
          <w:sz w:val="20"/>
          <w:szCs w:val="20"/>
          <w:lang w:val="en-CA"/>
        </w:rPr>
        <w:t>Daniele</w:t>
      </w:r>
      <w:proofErr w:type="spellEnd"/>
      <w:r w:rsidRPr="00D91731">
        <w:rPr>
          <w:rFonts w:asciiTheme="majorHAnsi" w:hAnsiTheme="majorHAnsi"/>
          <w:sz w:val="20"/>
          <w:szCs w:val="20"/>
          <w:lang w:val="en-CA"/>
        </w:rPr>
        <w:t xml:space="preserve"> </w:t>
      </w:r>
      <w:proofErr w:type="spellStart"/>
      <w:r w:rsidRPr="00D91731">
        <w:rPr>
          <w:rFonts w:asciiTheme="majorHAnsi" w:hAnsiTheme="majorHAnsi"/>
          <w:sz w:val="20"/>
          <w:szCs w:val="20"/>
          <w:lang w:val="en-CA"/>
        </w:rPr>
        <w:t>Caramani</w:t>
      </w:r>
      <w:proofErr w:type="spellEnd"/>
      <w:r w:rsidRPr="00D91731">
        <w:rPr>
          <w:rFonts w:asciiTheme="majorHAnsi" w:hAnsiTheme="majorHAnsi"/>
          <w:sz w:val="20"/>
          <w:szCs w:val="20"/>
          <w:lang w:val="en-CA"/>
        </w:rPr>
        <w:t xml:space="preserve">, dir. </w:t>
      </w:r>
      <w:r w:rsidRPr="00D91731">
        <w:rPr>
          <w:rFonts w:asciiTheme="majorHAnsi" w:hAnsiTheme="majorHAnsi"/>
          <w:i/>
          <w:sz w:val="20"/>
          <w:szCs w:val="20"/>
          <w:lang w:val="en-CA"/>
        </w:rPr>
        <w:t>Comparative Politics</w:t>
      </w:r>
      <w:r w:rsidRPr="00D91731">
        <w:rPr>
          <w:rFonts w:asciiTheme="majorHAnsi" w:hAnsiTheme="majorHAnsi"/>
          <w:sz w:val="20"/>
          <w:szCs w:val="20"/>
          <w:lang w:val="en-CA"/>
        </w:rPr>
        <w:t>, Oxford, Oxford University Press, 2011, pp. 275-291.</w:t>
      </w:r>
    </w:p>
    <w:p w:rsidR="001828DE" w:rsidRDefault="00D91731">
      <w:pPr>
        <w:pStyle w:val="ListParagraph"/>
        <w:numPr>
          <w:ilvl w:val="0"/>
          <w:numId w:val="15"/>
        </w:numPr>
        <w:spacing w:line="360" w:lineRule="auto"/>
        <w:rPr>
          <w:rFonts w:asciiTheme="majorHAnsi" w:hAnsiTheme="majorHAnsi"/>
          <w:sz w:val="20"/>
          <w:szCs w:val="20"/>
          <w:lang w:val="en-CA"/>
        </w:rPr>
      </w:pPr>
      <w:proofErr w:type="spellStart"/>
      <w:r w:rsidRPr="00D91731">
        <w:rPr>
          <w:rFonts w:asciiTheme="majorHAnsi" w:hAnsiTheme="majorHAnsi"/>
          <w:sz w:val="20"/>
          <w:szCs w:val="20"/>
          <w:lang w:val="en-CA"/>
        </w:rPr>
        <w:t>Boadway</w:t>
      </w:r>
      <w:proofErr w:type="spellEnd"/>
      <w:r w:rsidRPr="00D91731">
        <w:rPr>
          <w:rFonts w:asciiTheme="majorHAnsi" w:hAnsiTheme="majorHAnsi"/>
          <w:sz w:val="20"/>
          <w:szCs w:val="20"/>
          <w:lang w:val="en-CA"/>
        </w:rPr>
        <w:t xml:space="preserve">, Robin « Canada » in </w:t>
      </w:r>
      <w:proofErr w:type="spellStart"/>
      <w:r w:rsidRPr="00D91731">
        <w:rPr>
          <w:rFonts w:asciiTheme="majorHAnsi" w:hAnsiTheme="majorHAnsi"/>
          <w:sz w:val="20"/>
          <w:szCs w:val="20"/>
          <w:lang w:val="en-CA"/>
        </w:rPr>
        <w:t>Anwar</w:t>
      </w:r>
      <w:proofErr w:type="spellEnd"/>
      <w:r w:rsidRPr="00D91731">
        <w:rPr>
          <w:rFonts w:asciiTheme="majorHAnsi" w:hAnsiTheme="majorHAnsi"/>
          <w:sz w:val="20"/>
          <w:szCs w:val="20"/>
          <w:lang w:val="en-CA"/>
        </w:rPr>
        <w:t xml:space="preserve"> Shah, dir., </w:t>
      </w:r>
      <w:r w:rsidRPr="00D91731">
        <w:rPr>
          <w:rFonts w:asciiTheme="majorHAnsi" w:hAnsiTheme="majorHAnsi"/>
          <w:i/>
          <w:sz w:val="20"/>
          <w:szCs w:val="20"/>
          <w:lang w:val="en-CA"/>
        </w:rPr>
        <w:t xml:space="preserve">The Practice of Fiscal </w:t>
      </w:r>
      <w:proofErr w:type="gramStart"/>
      <w:r w:rsidRPr="00D91731">
        <w:rPr>
          <w:rFonts w:asciiTheme="majorHAnsi" w:hAnsiTheme="majorHAnsi"/>
          <w:i/>
          <w:sz w:val="20"/>
          <w:szCs w:val="20"/>
          <w:lang w:val="en-CA"/>
        </w:rPr>
        <w:t>Federalism :</w:t>
      </w:r>
      <w:proofErr w:type="gramEnd"/>
      <w:r w:rsidRPr="00D91731">
        <w:rPr>
          <w:rFonts w:asciiTheme="majorHAnsi" w:hAnsiTheme="majorHAnsi"/>
          <w:i/>
          <w:sz w:val="20"/>
          <w:szCs w:val="20"/>
          <w:lang w:val="en-CA"/>
        </w:rPr>
        <w:t xml:space="preserve"> Comparative Perspectives, A Global Dialogue on Federalism Series</w:t>
      </w:r>
      <w:r w:rsidRPr="00D91731">
        <w:rPr>
          <w:rFonts w:asciiTheme="majorHAnsi" w:hAnsiTheme="majorHAnsi"/>
          <w:sz w:val="20"/>
          <w:szCs w:val="20"/>
          <w:lang w:val="en-CA"/>
        </w:rPr>
        <w:t>, vol. 4. Montréal, McGill-Queen’s University Press, 2007, p.105</w:t>
      </w:r>
      <w:r w:rsidR="00E31F8E">
        <w:rPr>
          <w:rFonts w:asciiTheme="majorHAnsi" w:hAnsiTheme="majorHAnsi"/>
          <w:sz w:val="20"/>
          <w:szCs w:val="20"/>
          <w:lang w:val="en-CA"/>
        </w:rPr>
        <w:t>.</w:t>
      </w:r>
    </w:p>
    <w:p w:rsidR="001828DE" w:rsidRDefault="00D91731">
      <w:pPr>
        <w:pStyle w:val="ListParagraph"/>
        <w:numPr>
          <w:ilvl w:val="0"/>
          <w:numId w:val="15"/>
        </w:numPr>
        <w:spacing w:line="360" w:lineRule="auto"/>
        <w:rPr>
          <w:rFonts w:asciiTheme="majorHAnsi" w:hAnsiTheme="majorHAnsi"/>
          <w:sz w:val="20"/>
          <w:szCs w:val="20"/>
          <w:lang w:val="en-CA"/>
        </w:rPr>
      </w:pPr>
      <w:r w:rsidRPr="00D91731">
        <w:rPr>
          <w:rFonts w:asciiTheme="majorHAnsi" w:hAnsiTheme="majorHAnsi"/>
          <w:sz w:val="20"/>
          <w:szCs w:val="20"/>
          <w:lang w:val="en-CA"/>
        </w:rPr>
        <w:t xml:space="preserve">Gagnon, Alain-G., </w:t>
      </w:r>
      <w:proofErr w:type="gramStart"/>
      <w:r w:rsidRPr="00D91731">
        <w:rPr>
          <w:rFonts w:asciiTheme="majorHAnsi" w:hAnsiTheme="majorHAnsi"/>
          <w:i/>
          <w:sz w:val="20"/>
          <w:szCs w:val="20"/>
          <w:lang w:val="en-CA"/>
        </w:rPr>
        <w:t>The</w:t>
      </w:r>
      <w:proofErr w:type="gramEnd"/>
      <w:r w:rsidRPr="00D91731">
        <w:rPr>
          <w:rFonts w:asciiTheme="majorHAnsi" w:hAnsiTheme="majorHAnsi"/>
          <w:i/>
          <w:sz w:val="20"/>
          <w:szCs w:val="20"/>
          <w:lang w:val="en-CA"/>
        </w:rPr>
        <w:t xml:space="preserve"> Case for Multinational Federalism: Beyond the All-Encompassing State</w:t>
      </w:r>
      <w:r w:rsidRPr="00D91731">
        <w:rPr>
          <w:rFonts w:asciiTheme="majorHAnsi" w:hAnsiTheme="majorHAnsi"/>
          <w:sz w:val="20"/>
          <w:szCs w:val="20"/>
          <w:lang w:val="en-CA"/>
        </w:rPr>
        <w:t xml:space="preserve">, </w:t>
      </w:r>
      <w:proofErr w:type="spellStart"/>
      <w:r w:rsidRPr="00D91731">
        <w:rPr>
          <w:rFonts w:asciiTheme="majorHAnsi" w:hAnsiTheme="majorHAnsi"/>
          <w:sz w:val="20"/>
          <w:szCs w:val="20"/>
          <w:lang w:val="en-CA"/>
        </w:rPr>
        <w:t>Londres</w:t>
      </w:r>
      <w:proofErr w:type="spellEnd"/>
      <w:r w:rsidRPr="00D91731">
        <w:rPr>
          <w:rFonts w:asciiTheme="majorHAnsi" w:hAnsiTheme="majorHAnsi"/>
          <w:sz w:val="20"/>
          <w:szCs w:val="20"/>
          <w:lang w:val="en-CA"/>
        </w:rPr>
        <w:t xml:space="preserve">, </w:t>
      </w:r>
      <w:proofErr w:type="spellStart"/>
      <w:r w:rsidRPr="00D91731">
        <w:rPr>
          <w:rFonts w:asciiTheme="majorHAnsi" w:hAnsiTheme="majorHAnsi"/>
          <w:sz w:val="20"/>
          <w:szCs w:val="20"/>
          <w:lang w:val="en-CA"/>
        </w:rPr>
        <w:t>Routledge</w:t>
      </w:r>
      <w:proofErr w:type="spellEnd"/>
      <w:r w:rsidRPr="00D91731">
        <w:rPr>
          <w:rFonts w:asciiTheme="majorHAnsi" w:hAnsiTheme="majorHAnsi"/>
          <w:sz w:val="20"/>
          <w:szCs w:val="20"/>
          <w:lang w:val="en-CA"/>
        </w:rPr>
        <w:t>, 2010.</w:t>
      </w:r>
    </w:p>
    <w:p w:rsidR="001828DE" w:rsidRDefault="00D91731">
      <w:pPr>
        <w:pStyle w:val="ListParagraph"/>
        <w:numPr>
          <w:ilvl w:val="0"/>
          <w:numId w:val="15"/>
        </w:numPr>
        <w:spacing w:line="360" w:lineRule="auto"/>
        <w:rPr>
          <w:rFonts w:asciiTheme="majorHAnsi" w:hAnsiTheme="majorHAnsi"/>
          <w:sz w:val="20"/>
          <w:szCs w:val="20"/>
          <w:lang w:val="en-CA"/>
        </w:rPr>
      </w:pPr>
      <w:r w:rsidRPr="00D91731">
        <w:rPr>
          <w:rFonts w:asciiTheme="majorHAnsi" w:hAnsiTheme="majorHAnsi"/>
          <w:sz w:val="20"/>
          <w:szCs w:val="20"/>
          <w:lang w:val="en-CA"/>
        </w:rPr>
        <w:t xml:space="preserve">Gagnon, Alain-G. </w:t>
      </w:r>
      <w:proofErr w:type="gramStart"/>
      <w:r w:rsidRPr="00D91731">
        <w:rPr>
          <w:rFonts w:asciiTheme="majorHAnsi" w:hAnsiTheme="majorHAnsi"/>
          <w:sz w:val="20"/>
          <w:szCs w:val="20"/>
          <w:lang w:val="en-CA"/>
        </w:rPr>
        <w:t>et</w:t>
      </w:r>
      <w:proofErr w:type="gramEnd"/>
      <w:r w:rsidRPr="00D91731">
        <w:rPr>
          <w:rFonts w:asciiTheme="majorHAnsi" w:hAnsiTheme="majorHAnsi"/>
          <w:sz w:val="20"/>
          <w:szCs w:val="20"/>
          <w:lang w:val="en-CA"/>
        </w:rPr>
        <w:t xml:space="preserve"> Michael Keating, dir., </w:t>
      </w:r>
      <w:r w:rsidRPr="00D91731">
        <w:rPr>
          <w:rFonts w:asciiTheme="majorHAnsi" w:hAnsiTheme="majorHAnsi"/>
          <w:i/>
          <w:sz w:val="20"/>
          <w:szCs w:val="20"/>
          <w:lang w:val="en-CA"/>
        </w:rPr>
        <w:t>Political Autonomy and Divided Societies : Imagining Democratic Alternatives in Complex Settings</w:t>
      </w:r>
      <w:r w:rsidRPr="00D91731">
        <w:rPr>
          <w:rFonts w:asciiTheme="majorHAnsi" w:hAnsiTheme="majorHAnsi"/>
          <w:sz w:val="20"/>
          <w:szCs w:val="20"/>
          <w:lang w:val="en-CA"/>
        </w:rPr>
        <w:t xml:space="preserve">, </w:t>
      </w:r>
      <w:proofErr w:type="spellStart"/>
      <w:r w:rsidRPr="00D91731">
        <w:rPr>
          <w:rFonts w:asciiTheme="majorHAnsi" w:hAnsiTheme="majorHAnsi"/>
          <w:sz w:val="20"/>
          <w:szCs w:val="20"/>
          <w:lang w:val="en-CA"/>
        </w:rPr>
        <w:t>Londres</w:t>
      </w:r>
      <w:proofErr w:type="spellEnd"/>
      <w:r w:rsidRPr="00D91731">
        <w:rPr>
          <w:rFonts w:asciiTheme="majorHAnsi" w:hAnsiTheme="majorHAnsi"/>
          <w:sz w:val="20"/>
          <w:szCs w:val="20"/>
          <w:lang w:val="en-CA"/>
        </w:rPr>
        <w:t xml:space="preserve">, </w:t>
      </w:r>
      <w:proofErr w:type="spellStart"/>
      <w:r w:rsidRPr="00D91731">
        <w:rPr>
          <w:rFonts w:asciiTheme="majorHAnsi" w:hAnsiTheme="majorHAnsi"/>
          <w:sz w:val="20"/>
          <w:szCs w:val="20"/>
          <w:lang w:val="en-CA"/>
        </w:rPr>
        <w:t>Palgrave</w:t>
      </w:r>
      <w:proofErr w:type="spellEnd"/>
      <w:r w:rsidRPr="00D91731">
        <w:rPr>
          <w:rFonts w:asciiTheme="majorHAnsi" w:hAnsiTheme="majorHAnsi"/>
          <w:sz w:val="20"/>
          <w:szCs w:val="20"/>
          <w:lang w:val="en-CA"/>
        </w:rPr>
        <w:t xml:space="preserve"> Macmillan, 2012.</w:t>
      </w:r>
    </w:p>
    <w:p w:rsidR="001828DE" w:rsidRDefault="00D91731">
      <w:pPr>
        <w:pStyle w:val="ListParagraph"/>
        <w:numPr>
          <w:ilvl w:val="0"/>
          <w:numId w:val="15"/>
        </w:numPr>
        <w:spacing w:line="360" w:lineRule="auto"/>
        <w:rPr>
          <w:rFonts w:asciiTheme="majorHAnsi" w:hAnsiTheme="majorHAnsi"/>
          <w:sz w:val="20"/>
          <w:szCs w:val="20"/>
          <w:lang w:val="fr-CH"/>
        </w:rPr>
      </w:pPr>
      <w:r w:rsidRPr="00D91731">
        <w:rPr>
          <w:rFonts w:asciiTheme="majorHAnsi" w:hAnsiTheme="majorHAnsi"/>
          <w:sz w:val="20"/>
          <w:szCs w:val="20"/>
          <w:lang w:val="fr-CH"/>
        </w:rPr>
        <w:t xml:space="preserve">Gagnon, Alain-G. et Guy Rocher, </w:t>
      </w:r>
      <w:proofErr w:type="spellStart"/>
      <w:proofErr w:type="gramStart"/>
      <w:r w:rsidRPr="00D91731">
        <w:rPr>
          <w:rFonts w:asciiTheme="majorHAnsi" w:hAnsiTheme="majorHAnsi"/>
          <w:sz w:val="20"/>
          <w:szCs w:val="20"/>
          <w:lang w:val="fr-CH"/>
        </w:rPr>
        <w:t>dir</w:t>
      </w:r>
      <w:proofErr w:type="spellEnd"/>
      <w:r w:rsidRPr="00D91731">
        <w:rPr>
          <w:rFonts w:asciiTheme="majorHAnsi" w:hAnsiTheme="majorHAnsi"/>
          <w:sz w:val="20"/>
          <w:szCs w:val="20"/>
          <w:lang w:val="fr-CH"/>
        </w:rPr>
        <w:t>.,</w:t>
      </w:r>
      <w:proofErr w:type="gramEnd"/>
      <w:r w:rsidRPr="00D91731">
        <w:rPr>
          <w:rFonts w:asciiTheme="majorHAnsi" w:hAnsiTheme="majorHAnsi"/>
          <w:sz w:val="20"/>
          <w:szCs w:val="20"/>
          <w:lang w:val="fr-CH"/>
        </w:rPr>
        <w:t xml:space="preserve"> </w:t>
      </w:r>
      <w:r w:rsidRPr="00D91731">
        <w:rPr>
          <w:rFonts w:asciiTheme="majorHAnsi" w:hAnsiTheme="majorHAnsi"/>
          <w:i/>
          <w:sz w:val="20"/>
          <w:szCs w:val="20"/>
          <w:lang w:val="fr-CH"/>
        </w:rPr>
        <w:t>Regard sur la convention de la Baie-James et du Nord québécois</w:t>
      </w:r>
      <w:r w:rsidRPr="00D91731">
        <w:rPr>
          <w:rFonts w:asciiTheme="majorHAnsi" w:hAnsiTheme="majorHAnsi"/>
          <w:sz w:val="20"/>
          <w:szCs w:val="20"/>
          <w:lang w:val="fr-CH"/>
        </w:rPr>
        <w:t>, Montréal, Québec Amérique, 2002.</w:t>
      </w:r>
    </w:p>
    <w:p w:rsidR="001828DE" w:rsidRDefault="00D91731">
      <w:pPr>
        <w:pStyle w:val="ListParagraph"/>
        <w:numPr>
          <w:ilvl w:val="0"/>
          <w:numId w:val="15"/>
        </w:numPr>
        <w:spacing w:line="360" w:lineRule="auto"/>
        <w:rPr>
          <w:rFonts w:asciiTheme="majorHAnsi" w:hAnsiTheme="majorHAnsi"/>
          <w:sz w:val="20"/>
          <w:szCs w:val="20"/>
          <w:lang w:val="fr-CH"/>
        </w:rPr>
      </w:pPr>
      <w:r w:rsidRPr="00D91731">
        <w:rPr>
          <w:rFonts w:asciiTheme="majorHAnsi" w:hAnsiTheme="majorHAnsi"/>
          <w:sz w:val="20"/>
          <w:szCs w:val="20"/>
          <w:lang w:val="fr-CH"/>
        </w:rPr>
        <w:t xml:space="preserve">Gouvernement du Québec, </w:t>
      </w:r>
      <w:r w:rsidRPr="00D91731">
        <w:rPr>
          <w:rFonts w:asciiTheme="majorHAnsi" w:hAnsiTheme="majorHAnsi"/>
          <w:i/>
          <w:sz w:val="20"/>
          <w:szCs w:val="20"/>
          <w:lang w:val="fr-CH"/>
        </w:rPr>
        <w:t xml:space="preserve">Tracer la voie vers un gouvernement pour le </w:t>
      </w:r>
      <w:proofErr w:type="spellStart"/>
      <w:r w:rsidRPr="00D91731">
        <w:rPr>
          <w:rFonts w:asciiTheme="majorHAnsi" w:hAnsiTheme="majorHAnsi"/>
          <w:i/>
          <w:sz w:val="20"/>
          <w:szCs w:val="20"/>
          <w:lang w:val="fr-CH"/>
        </w:rPr>
        <w:t>Nunavik</w:t>
      </w:r>
      <w:proofErr w:type="spellEnd"/>
      <w:r w:rsidRPr="00D91731">
        <w:rPr>
          <w:rFonts w:asciiTheme="majorHAnsi" w:hAnsiTheme="majorHAnsi"/>
          <w:sz w:val="20"/>
          <w:szCs w:val="20"/>
          <w:lang w:val="fr-CH"/>
        </w:rPr>
        <w:t xml:space="preserve">, Rapport de la Commission du </w:t>
      </w:r>
      <w:proofErr w:type="spellStart"/>
      <w:r w:rsidRPr="00D91731">
        <w:rPr>
          <w:rFonts w:asciiTheme="majorHAnsi" w:hAnsiTheme="majorHAnsi"/>
          <w:sz w:val="20"/>
          <w:szCs w:val="20"/>
          <w:lang w:val="fr-CH"/>
        </w:rPr>
        <w:t>Nunavik</w:t>
      </w:r>
      <w:proofErr w:type="spellEnd"/>
      <w:r w:rsidRPr="00D91731">
        <w:rPr>
          <w:rFonts w:asciiTheme="majorHAnsi" w:hAnsiTheme="majorHAnsi"/>
          <w:sz w:val="20"/>
          <w:szCs w:val="20"/>
          <w:lang w:val="fr-CH"/>
        </w:rPr>
        <w:t>, 2001.</w:t>
      </w:r>
    </w:p>
    <w:p w:rsidR="001828DE" w:rsidRDefault="001828DE">
      <w:pPr>
        <w:spacing w:line="360" w:lineRule="auto"/>
        <w:rPr>
          <w:rFonts w:asciiTheme="majorHAnsi" w:hAnsiTheme="majorHAnsi"/>
          <w:sz w:val="20"/>
          <w:szCs w:val="20"/>
          <w:lang w:val="fr-CH"/>
        </w:rPr>
      </w:pPr>
    </w:p>
    <w:sectPr w:rsidR="001828DE" w:rsidSect="009B56C9">
      <w:footerReference w:type="even" r:id="rId10"/>
      <w:footerReference w:type="default" r:id="rId11"/>
      <w:pgSz w:w="11901" w:h="16817"/>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F2" w:rsidRDefault="009D06F2">
      <w:r>
        <w:separator/>
      </w:r>
    </w:p>
  </w:endnote>
  <w:endnote w:type="continuationSeparator" w:id="0">
    <w:p w:rsidR="009D06F2" w:rsidRDefault="009D0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F2" w:rsidRDefault="00F9767F" w:rsidP="00D5092F">
    <w:pPr>
      <w:pStyle w:val="Footer"/>
      <w:framePr w:wrap="around" w:vAnchor="text" w:hAnchor="margin" w:xAlign="right" w:y="1"/>
      <w:rPr>
        <w:rStyle w:val="PageNumber"/>
      </w:rPr>
    </w:pPr>
    <w:r>
      <w:rPr>
        <w:rStyle w:val="PageNumber"/>
      </w:rPr>
      <w:fldChar w:fldCharType="begin"/>
    </w:r>
    <w:r w:rsidR="009D06F2">
      <w:rPr>
        <w:rStyle w:val="PageNumber"/>
      </w:rPr>
      <w:instrText xml:space="preserve">PAGE  </w:instrText>
    </w:r>
    <w:r>
      <w:rPr>
        <w:rStyle w:val="PageNumber"/>
      </w:rPr>
      <w:fldChar w:fldCharType="end"/>
    </w:r>
  </w:p>
  <w:p w:rsidR="009D06F2" w:rsidRDefault="009D06F2" w:rsidP="00855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F2" w:rsidRDefault="00F9767F" w:rsidP="00D5092F">
    <w:pPr>
      <w:pStyle w:val="Footer"/>
      <w:framePr w:wrap="around" w:vAnchor="text" w:hAnchor="margin" w:xAlign="right" w:y="1"/>
      <w:rPr>
        <w:rStyle w:val="PageNumber"/>
      </w:rPr>
    </w:pPr>
    <w:r>
      <w:rPr>
        <w:rStyle w:val="PageNumber"/>
      </w:rPr>
      <w:fldChar w:fldCharType="begin"/>
    </w:r>
    <w:r w:rsidR="009D06F2">
      <w:rPr>
        <w:rStyle w:val="PageNumber"/>
      </w:rPr>
      <w:instrText xml:space="preserve">PAGE  </w:instrText>
    </w:r>
    <w:r>
      <w:rPr>
        <w:rStyle w:val="PageNumber"/>
      </w:rPr>
      <w:fldChar w:fldCharType="separate"/>
    </w:r>
    <w:r w:rsidR="00DA5C56">
      <w:rPr>
        <w:rStyle w:val="PageNumber"/>
        <w:noProof/>
      </w:rPr>
      <w:t>4</w:t>
    </w:r>
    <w:r>
      <w:rPr>
        <w:rStyle w:val="PageNumber"/>
      </w:rPr>
      <w:fldChar w:fldCharType="end"/>
    </w:r>
  </w:p>
  <w:p w:rsidR="009D06F2" w:rsidRDefault="009D06F2" w:rsidP="00855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F2" w:rsidRDefault="009D06F2">
      <w:r>
        <w:separator/>
      </w:r>
    </w:p>
  </w:footnote>
  <w:footnote w:type="continuationSeparator" w:id="0">
    <w:p w:rsidR="009D06F2" w:rsidRDefault="009D06F2">
      <w:r>
        <w:continuationSeparator/>
      </w:r>
    </w:p>
  </w:footnote>
  <w:footnote w:id="1">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Ne pas citer sans permission de l’auteur.</w:t>
      </w:r>
    </w:p>
  </w:footnote>
  <w:footnote w:id="2">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Titulaire de la Chaire de recherche du Canada en études québécoises et canadiennes, Université du Québec à Montréal, </w:t>
      </w:r>
      <w:hyperlink r:id="rId1" w:history="1">
        <w:r w:rsidRPr="00F9767F">
          <w:rPr>
            <w:rStyle w:val="Hyperlink"/>
            <w:rFonts w:asciiTheme="majorHAnsi" w:hAnsiTheme="majorHAnsi"/>
            <w:sz w:val="18"/>
            <w:szCs w:val="18"/>
            <w:lang w:val="fr-CH"/>
          </w:rPr>
          <w:t>www.creqc.uqam.ca</w:t>
        </w:r>
      </w:hyperlink>
      <w:r w:rsidRPr="00F9767F">
        <w:rPr>
          <w:rFonts w:asciiTheme="majorHAnsi" w:hAnsiTheme="majorHAnsi"/>
          <w:sz w:val="18"/>
          <w:szCs w:val="18"/>
          <w:lang w:val="fr-CH"/>
        </w:rPr>
        <w:t>.</w:t>
      </w:r>
    </w:p>
  </w:footnote>
  <w:footnote w:id="3">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Pour une analyse en profondeur du système fédéral canadien, on consultera : Alain-G. Gagnon, </w:t>
      </w:r>
      <w:proofErr w:type="spellStart"/>
      <w:r w:rsidRPr="00F9767F">
        <w:rPr>
          <w:rFonts w:asciiTheme="majorHAnsi" w:hAnsiTheme="majorHAnsi"/>
          <w:sz w:val="18"/>
          <w:szCs w:val="18"/>
          <w:lang w:val="fr-CH"/>
        </w:rPr>
        <w:t>dir</w:t>
      </w:r>
      <w:proofErr w:type="spellEnd"/>
      <w:r w:rsidRPr="00F9767F">
        <w:rPr>
          <w:rFonts w:asciiTheme="majorHAnsi" w:hAnsiTheme="majorHAnsi"/>
          <w:sz w:val="18"/>
          <w:szCs w:val="18"/>
          <w:lang w:val="fr-CH"/>
        </w:rPr>
        <w:t xml:space="preserve">. </w:t>
      </w:r>
      <w:r w:rsidRPr="00F9767F">
        <w:rPr>
          <w:rFonts w:asciiTheme="majorHAnsi" w:hAnsiTheme="majorHAnsi"/>
          <w:i/>
          <w:sz w:val="18"/>
          <w:szCs w:val="18"/>
          <w:lang w:val="fr-CH"/>
        </w:rPr>
        <w:t>Le fédéralisme canadien contemporain : fondements, institutions, traditions</w:t>
      </w:r>
      <w:r w:rsidRPr="00F9767F">
        <w:rPr>
          <w:rFonts w:asciiTheme="majorHAnsi" w:hAnsiTheme="majorHAnsi"/>
          <w:sz w:val="18"/>
          <w:szCs w:val="18"/>
          <w:lang w:val="fr-CH"/>
        </w:rPr>
        <w:t xml:space="preserve">, Montréal, Les Presses de l’Université de Montréal, 2006 et en version anglaise </w:t>
      </w:r>
      <w:proofErr w:type="spellStart"/>
      <w:r w:rsidRPr="00F9767F">
        <w:rPr>
          <w:rFonts w:asciiTheme="majorHAnsi" w:hAnsiTheme="majorHAnsi"/>
          <w:i/>
          <w:sz w:val="18"/>
          <w:szCs w:val="18"/>
          <w:lang w:val="fr-CH"/>
        </w:rPr>
        <w:t>Contemporary</w:t>
      </w:r>
      <w:proofErr w:type="spellEnd"/>
      <w:r w:rsidRPr="00F9767F">
        <w:rPr>
          <w:rFonts w:asciiTheme="majorHAnsi" w:hAnsiTheme="majorHAnsi"/>
          <w:i/>
          <w:sz w:val="18"/>
          <w:szCs w:val="18"/>
          <w:lang w:val="fr-CH"/>
        </w:rPr>
        <w:t xml:space="preserve"> Canadian </w:t>
      </w:r>
      <w:proofErr w:type="spellStart"/>
      <w:r w:rsidRPr="00F9767F">
        <w:rPr>
          <w:rFonts w:asciiTheme="majorHAnsi" w:hAnsiTheme="majorHAnsi"/>
          <w:i/>
          <w:sz w:val="18"/>
          <w:szCs w:val="18"/>
          <w:lang w:val="fr-CH"/>
        </w:rPr>
        <w:t>Federalism</w:t>
      </w:r>
      <w:proofErr w:type="spellEnd"/>
      <w:r w:rsidRPr="00F9767F">
        <w:rPr>
          <w:rFonts w:asciiTheme="majorHAnsi" w:hAnsiTheme="majorHAnsi"/>
          <w:i/>
          <w:sz w:val="18"/>
          <w:szCs w:val="18"/>
          <w:lang w:val="fr-CH"/>
        </w:rPr>
        <w:t xml:space="preserve"> : </w:t>
      </w:r>
      <w:proofErr w:type="spellStart"/>
      <w:r w:rsidRPr="00F9767F">
        <w:rPr>
          <w:rFonts w:asciiTheme="majorHAnsi" w:hAnsiTheme="majorHAnsi"/>
          <w:i/>
          <w:sz w:val="18"/>
          <w:szCs w:val="18"/>
          <w:lang w:val="fr-CH"/>
        </w:rPr>
        <w:t>Foundations</w:t>
      </w:r>
      <w:proofErr w:type="spellEnd"/>
      <w:r w:rsidRPr="00F9767F">
        <w:rPr>
          <w:rFonts w:asciiTheme="majorHAnsi" w:hAnsiTheme="majorHAnsi"/>
          <w:i/>
          <w:sz w:val="18"/>
          <w:szCs w:val="18"/>
          <w:lang w:val="fr-CH"/>
        </w:rPr>
        <w:t>, Institutions, Traditions</w:t>
      </w:r>
      <w:r w:rsidRPr="00F9767F">
        <w:rPr>
          <w:rFonts w:asciiTheme="majorHAnsi" w:hAnsiTheme="majorHAnsi"/>
          <w:sz w:val="18"/>
          <w:szCs w:val="18"/>
          <w:lang w:val="fr-CH"/>
        </w:rPr>
        <w:t xml:space="preserve">, Toronto, </w:t>
      </w:r>
      <w:proofErr w:type="spellStart"/>
      <w:r w:rsidRPr="00F9767F">
        <w:rPr>
          <w:rFonts w:asciiTheme="majorHAnsi" w:hAnsiTheme="majorHAnsi"/>
          <w:sz w:val="18"/>
          <w:szCs w:val="18"/>
          <w:lang w:val="fr-CH"/>
        </w:rPr>
        <w:t>University</w:t>
      </w:r>
      <w:proofErr w:type="spellEnd"/>
      <w:r w:rsidRPr="00F9767F">
        <w:rPr>
          <w:rFonts w:asciiTheme="majorHAnsi" w:hAnsiTheme="majorHAnsi"/>
          <w:sz w:val="18"/>
          <w:szCs w:val="18"/>
          <w:lang w:val="fr-CH"/>
        </w:rPr>
        <w:t xml:space="preserve"> of Toronto </w:t>
      </w:r>
      <w:proofErr w:type="spellStart"/>
      <w:r w:rsidRPr="00F9767F">
        <w:rPr>
          <w:rFonts w:asciiTheme="majorHAnsi" w:hAnsiTheme="majorHAnsi"/>
          <w:sz w:val="18"/>
          <w:szCs w:val="18"/>
          <w:lang w:val="fr-CH"/>
        </w:rPr>
        <w:t>Press</w:t>
      </w:r>
      <w:proofErr w:type="spellEnd"/>
      <w:r w:rsidRPr="00F9767F">
        <w:rPr>
          <w:rFonts w:asciiTheme="majorHAnsi" w:hAnsiTheme="majorHAnsi"/>
          <w:sz w:val="18"/>
          <w:szCs w:val="18"/>
          <w:lang w:val="fr-CH"/>
        </w:rPr>
        <w:t>, 2009.</w:t>
      </w:r>
    </w:p>
  </w:footnote>
  <w:footnote w:id="4">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Les </w:t>
      </w:r>
      <w:r w:rsidRPr="00F9767F">
        <w:rPr>
          <w:rFonts w:asciiTheme="majorHAnsi" w:hAnsiTheme="majorHAnsi"/>
          <w:bCs/>
          <w:sz w:val="18"/>
          <w:szCs w:val="18"/>
          <w:lang w:val="fr-CH"/>
        </w:rPr>
        <w:t>Cris</w:t>
      </w:r>
      <w:r w:rsidRPr="00F9767F">
        <w:rPr>
          <w:rFonts w:asciiTheme="majorHAnsi" w:hAnsiTheme="majorHAnsi"/>
          <w:sz w:val="18"/>
          <w:szCs w:val="18"/>
          <w:lang w:val="fr-CH"/>
        </w:rPr>
        <w:t xml:space="preserve"> (en anglais </w:t>
      </w:r>
      <w:r w:rsidRPr="00F9767F">
        <w:rPr>
          <w:rFonts w:asciiTheme="majorHAnsi" w:hAnsiTheme="majorHAnsi"/>
          <w:i/>
          <w:iCs/>
          <w:sz w:val="18"/>
          <w:szCs w:val="18"/>
          <w:lang w:val="fr-CH"/>
        </w:rPr>
        <w:t>Cree</w:t>
      </w:r>
      <w:r w:rsidRPr="00F9767F">
        <w:rPr>
          <w:rFonts w:asciiTheme="majorHAnsi" w:hAnsiTheme="majorHAnsi"/>
          <w:sz w:val="18"/>
          <w:szCs w:val="18"/>
          <w:lang w:val="fr-CH"/>
        </w:rPr>
        <w:t xml:space="preserve"> ou </w:t>
      </w:r>
      <w:proofErr w:type="spellStart"/>
      <w:r w:rsidRPr="00F9767F">
        <w:rPr>
          <w:rFonts w:asciiTheme="majorHAnsi" w:hAnsiTheme="majorHAnsi"/>
          <w:i/>
          <w:iCs/>
          <w:sz w:val="18"/>
          <w:szCs w:val="18"/>
          <w:lang w:val="fr-CH"/>
        </w:rPr>
        <w:t>Crees</w:t>
      </w:r>
      <w:proofErr w:type="spellEnd"/>
      <w:r w:rsidRPr="00F9767F">
        <w:rPr>
          <w:rFonts w:asciiTheme="majorHAnsi" w:hAnsiTheme="majorHAnsi"/>
          <w:sz w:val="18"/>
          <w:szCs w:val="18"/>
          <w:lang w:val="fr-CH"/>
        </w:rPr>
        <w:t xml:space="preserve">) sont une nation </w:t>
      </w:r>
      <w:hyperlink r:id="rId2" w:tooltip="Autochtone" w:history="1">
        <w:r w:rsidRPr="00F9767F">
          <w:rPr>
            <w:rFonts w:asciiTheme="majorHAnsi" w:hAnsiTheme="majorHAnsi"/>
            <w:sz w:val="18"/>
            <w:szCs w:val="18"/>
            <w:lang w:val="fr-CH"/>
          </w:rPr>
          <w:t>autochtone</w:t>
        </w:r>
      </w:hyperlink>
      <w:r w:rsidRPr="00F9767F">
        <w:rPr>
          <w:rFonts w:asciiTheme="majorHAnsi" w:hAnsiTheme="majorHAnsi"/>
          <w:sz w:val="18"/>
          <w:szCs w:val="18"/>
          <w:lang w:val="fr-CH"/>
        </w:rPr>
        <w:t xml:space="preserve"> d'</w:t>
      </w:r>
      <w:hyperlink r:id="rId3" w:tooltip="Amérique du Nord" w:history="1">
        <w:r w:rsidRPr="00F9767F">
          <w:rPr>
            <w:rFonts w:asciiTheme="majorHAnsi" w:hAnsiTheme="majorHAnsi"/>
            <w:sz w:val="18"/>
            <w:szCs w:val="18"/>
            <w:lang w:val="fr-CH"/>
          </w:rPr>
          <w:t>Amérique du Nord</w:t>
        </w:r>
      </w:hyperlink>
      <w:r w:rsidRPr="00F9767F">
        <w:rPr>
          <w:rFonts w:asciiTheme="majorHAnsi" w:hAnsiTheme="majorHAnsi"/>
          <w:sz w:val="18"/>
          <w:szCs w:val="18"/>
          <w:lang w:val="fr-CH"/>
        </w:rPr>
        <w:t xml:space="preserve">, appartenant à la grande famille linguistique et culturelle algonquine, et habitant des </w:t>
      </w:r>
      <w:hyperlink r:id="rId4" w:tooltip="Montagnes Rocheuses" w:history="1">
        <w:r w:rsidRPr="00F9767F">
          <w:rPr>
            <w:rFonts w:asciiTheme="majorHAnsi" w:hAnsiTheme="majorHAnsi"/>
            <w:sz w:val="18"/>
            <w:szCs w:val="18"/>
            <w:lang w:val="fr-CH"/>
          </w:rPr>
          <w:t>Montagnes Rocheuses</w:t>
        </w:r>
      </w:hyperlink>
      <w:r w:rsidRPr="00F9767F">
        <w:rPr>
          <w:rFonts w:asciiTheme="majorHAnsi" w:hAnsiTheme="majorHAnsi"/>
          <w:sz w:val="18"/>
          <w:szCs w:val="18"/>
          <w:lang w:val="fr-CH"/>
        </w:rPr>
        <w:t xml:space="preserve"> à l'o</w:t>
      </w:r>
      <w:hyperlink r:id="rId5" w:tooltip="Océan Atlantique" w:history="1">
        <w:r w:rsidRPr="00F9767F">
          <w:rPr>
            <w:rFonts w:asciiTheme="majorHAnsi" w:hAnsiTheme="majorHAnsi"/>
            <w:sz w:val="18"/>
            <w:szCs w:val="18"/>
            <w:lang w:val="fr-CH"/>
          </w:rPr>
          <w:t>céan</w:t>
        </w:r>
      </w:hyperlink>
      <w:r w:rsidRPr="00F9767F">
        <w:rPr>
          <w:rFonts w:asciiTheme="majorHAnsi" w:hAnsiTheme="majorHAnsi"/>
          <w:sz w:val="18"/>
          <w:szCs w:val="18"/>
          <w:lang w:val="fr-CH"/>
        </w:rPr>
        <w:t xml:space="preserve"> Atlantique à la fois au </w:t>
      </w:r>
      <w:hyperlink r:id="rId6" w:tooltip="Canada" w:history="1">
        <w:r w:rsidRPr="00F9767F">
          <w:rPr>
            <w:rFonts w:asciiTheme="majorHAnsi" w:hAnsiTheme="majorHAnsi"/>
            <w:sz w:val="18"/>
            <w:szCs w:val="18"/>
            <w:lang w:val="fr-CH"/>
          </w:rPr>
          <w:t>Canada</w:t>
        </w:r>
      </w:hyperlink>
      <w:r w:rsidRPr="00F9767F">
        <w:rPr>
          <w:rFonts w:asciiTheme="majorHAnsi" w:hAnsiTheme="majorHAnsi"/>
          <w:sz w:val="18"/>
          <w:szCs w:val="18"/>
          <w:lang w:val="fr-CH"/>
        </w:rPr>
        <w:t xml:space="preserve"> et aux </w:t>
      </w:r>
      <w:hyperlink r:id="rId7" w:tooltip="États-Unis" w:history="1">
        <w:r w:rsidRPr="00F9767F">
          <w:rPr>
            <w:rFonts w:asciiTheme="majorHAnsi" w:hAnsiTheme="majorHAnsi"/>
            <w:sz w:val="18"/>
            <w:szCs w:val="18"/>
            <w:lang w:val="fr-CH"/>
          </w:rPr>
          <w:t>États-Unis</w:t>
        </w:r>
      </w:hyperlink>
      <w:r w:rsidRPr="00F9767F">
        <w:rPr>
          <w:rFonts w:asciiTheme="majorHAnsi" w:hAnsiTheme="majorHAnsi"/>
          <w:sz w:val="18"/>
          <w:szCs w:val="18"/>
          <w:lang w:val="fr-CH"/>
        </w:rPr>
        <w:t xml:space="preserve">. La </w:t>
      </w:r>
      <w:hyperlink r:id="rId8" w:tooltip="Langue crie" w:history="1">
        <w:r w:rsidRPr="00F9767F">
          <w:rPr>
            <w:rFonts w:asciiTheme="majorHAnsi" w:hAnsiTheme="majorHAnsi"/>
            <w:sz w:val="18"/>
            <w:szCs w:val="18"/>
            <w:lang w:val="fr-CH"/>
          </w:rPr>
          <w:t>langue crie</w:t>
        </w:r>
      </w:hyperlink>
      <w:r w:rsidRPr="00F9767F">
        <w:rPr>
          <w:rFonts w:asciiTheme="majorHAnsi" w:hAnsiTheme="majorHAnsi"/>
          <w:sz w:val="18"/>
          <w:szCs w:val="18"/>
          <w:lang w:val="fr-CH"/>
        </w:rPr>
        <w:t xml:space="preserve"> est l'une des langues amérindiennes les plus parlées de l'Amérique du Nord.</w:t>
      </w:r>
    </w:p>
  </w:footnote>
  <w:footnote w:id="5">
    <w:p w:rsidR="009D06F2" w:rsidRPr="009D06F2" w:rsidRDefault="00F9767F">
      <w:pPr>
        <w:contextualSpacing/>
        <w:rPr>
          <w:rFonts w:asciiTheme="majorHAnsi" w:hAnsiTheme="majorHAnsi"/>
          <w:color w:val="FF0000"/>
          <w:sz w:val="18"/>
          <w:szCs w:val="18"/>
          <w:lang w:val="fr-CH"/>
        </w:rPr>
      </w:pPr>
      <w:r w:rsidRPr="00F9767F">
        <w:rPr>
          <w:rStyle w:val="FootnoteReference"/>
          <w:rFonts w:asciiTheme="majorHAnsi" w:hAnsiTheme="majorHAnsi"/>
          <w:color w:val="FF0000"/>
          <w:sz w:val="18"/>
          <w:szCs w:val="18"/>
        </w:rPr>
        <w:footnoteRef/>
      </w:r>
      <w:r w:rsidRPr="00F9767F">
        <w:rPr>
          <w:rFonts w:asciiTheme="majorHAnsi" w:hAnsiTheme="majorHAnsi"/>
          <w:color w:val="FF0000"/>
          <w:sz w:val="18"/>
          <w:szCs w:val="18"/>
          <w:lang w:val="fr-CH"/>
        </w:rPr>
        <w:t xml:space="preserve"> Mission permanente du Maroc auprès de l’O</w:t>
      </w:r>
      <w:proofErr w:type="spellStart"/>
      <w:r w:rsidRPr="00F9767F">
        <w:rPr>
          <w:rFonts w:asciiTheme="majorHAnsi" w:eastAsia="Times New Roman" w:hAnsiTheme="majorHAnsi" w:cs="Times New Roman"/>
          <w:bCs/>
          <w:color w:val="FF0000"/>
          <w:sz w:val="18"/>
          <w:szCs w:val="18"/>
          <w:lang w:val="fr-CA" w:eastAsia="fr-CA"/>
        </w:rPr>
        <w:t>ffice</w:t>
      </w:r>
      <w:proofErr w:type="spellEnd"/>
      <w:r w:rsidRPr="00F9767F">
        <w:rPr>
          <w:rFonts w:asciiTheme="majorHAnsi" w:eastAsia="Times New Roman" w:hAnsiTheme="majorHAnsi" w:cs="Times New Roman"/>
          <w:bCs/>
          <w:color w:val="FF0000"/>
          <w:sz w:val="18"/>
          <w:szCs w:val="18"/>
          <w:lang w:val="fr-CA" w:eastAsia="fr-CA"/>
        </w:rPr>
        <w:t xml:space="preserve"> des Nations unies et des autres organisations internationales à Genève, « </w:t>
      </w:r>
      <w:r w:rsidRPr="00F9767F">
        <w:rPr>
          <w:rFonts w:asciiTheme="majorHAnsi" w:eastAsia="Times New Roman" w:hAnsiTheme="majorHAnsi" w:cs="Times New Roman"/>
          <w:color w:val="FF0000"/>
          <w:sz w:val="18"/>
          <w:szCs w:val="18"/>
          <w:lang w:val="fr-CA" w:eastAsia="fr-CA"/>
        </w:rPr>
        <w:t>Initiative marocaine pour la négociation d'un statut d'autonomie de la région du Sahara</w:t>
      </w:r>
      <w:r w:rsidRPr="00F9767F">
        <w:rPr>
          <w:rFonts w:asciiTheme="majorHAnsi" w:eastAsia="Times New Roman" w:hAnsiTheme="majorHAnsi" w:cs="Times New Roman"/>
          <w:bCs/>
          <w:color w:val="FF0000"/>
          <w:sz w:val="18"/>
          <w:szCs w:val="18"/>
          <w:lang w:val="fr-CA" w:eastAsia="fr-CA"/>
        </w:rPr>
        <w:t> »</w:t>
      </w:r>
      <w:r w:rsidRPr="00F9767F">
        <w:rPr>
          <w:rFonts w:asciiTheme="majorHAnsi" w:hAnsiTheme="majorHAnsi"/>
          <w:color w:val="FF0000"/>
          <w:sz w:val="18"/>
          <w:szCs w:val="18"/>
          <w:lang w:val="fr-CH"/>
        </w:rPr>
        <w:t xml:space="preserve"> (http://www.mission-maroc.ch/fr/pages/308.html).</w:t>
      </w:r>
    </w:p>
  </w:footnote>
  <w:footnote w:id="6">
    <w:p w:rsidR="009D06F2" w:rsidRPr="009D06F2" w:rsidRDefault="00F9767F">
      <w:pPr>
        <w:pStyle w:val="FootnoteText"/>
        <w:rPr>
          <w:rFonts w:asciiTheme="majorHAnsi" w:hAnsiTheme="majorHAnsi"/>
          <w:sz w:val="18"/>
          <w:szCs w:val="18"/>
        </w:rPr>
      </w:pPr>
      <w:r w:rsidRPr="00F9767F">
        <w:rPr>
          <w:rStyle w:val="FootnoteReference"/>
          <w:rFonts w:asciiTheme="majorHAnsi" w:hAnsiTheme="majorHAnsi"/>
          <w:sz w:val="18"/>
          <w:szCs w:val="18"/>
        </w:rPr>
        <w:footnoteRef/>
      </w:r>
      <w:r w:rsidRPr="00F9767F">
        <w:rPr>
          <w:rFonts w:asciiTheme="majorHAnsi" w:hAnsiTheme="majorHAnsi"/>
          <w:sz w:val="18"/>
          <w:szCs w:val="18"/>
        </w:rPr>
        <w:t xml:space="preserve"> </w:t>
      </w:r>
      <w:hyperlink r:id="rId9" w:history="1">
        <w:r w:rsidRPr="00F9767F">
          <w:rPr>
            <w:rStyle w:val="Hyperlink"/>
            <w:rFonts w:asciiTheme="majorHAnsi" w:hAnsiTheme="majorHAnsi"/>
            <w:sz w:val="18"/>
            <w:szCs w:val="18"/>
          </w:rPr>
          <w:t>www.ifdc.org</w:t>
        </w:r>
      </w:hyperlink>
      <w:r w:rsidRPr="00F9767F">
        <w:rPr>
          <w:rFonts w:asciiTheme="majorHAnsi" w:hAnsiTheme="majorHAnsi"/>
          <w:sz w:val="18"/>
          <w:szCs w:val="18"/>
        </w:rPr>
        <w:t xml:space="preserve"> </w:t>
      </w:r>
    </w:p>
  </w:footnote>
  <w:footnote w:id="7">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Québec, </w:t>
      </w:r>
      <w:r w:rsidRPr="00F9767F">
        <w:rPr>
          <w:rFonts w:asciiTheme="majorHAnsi" w:hAnsiTheme="majorHAnsi"/>
          <w:i/>
          <w:sz w:val="18"/>
          <w:szCs w:val="18"/>
          <w:lang w:val="fr-CH"/>
        </w:rPr>
        <w:t xml:space="preserve">Tracer la voie vers un gouvernement pour le </w:t>
      </w:r>
      <w:proofErr w:type="spellStart"/>
      <w:r w:rsidRPr="00F9767F">
        <w:rPr>
          <w:rFonts w:asciiTheme="majorHAnsi" w:hAnsiTheme="majorHAnsi"/>
          <w:i/>
          <w:sz w:val="18"/>
          <w:szCs w:val="18"/>
          <w:lang w:val="fr-CH"/>
        </w:rPr>
        <w:t>Nunavik</w:t>
      </w:r>
      <w:proofErr w:type="spellEnd"/>
      <w:r w:rsidRPr="00F9767F">
        <w:rPr>
          <w:rFonts w:asciiTheme="majorHAnsi" w:hAnsiTheme="majorHAnsi"/>
          <w:sz w:val="18"/>
          <w:szCs w:val="18"/>
          <w:lang w:val="fr-CH"/>
        </w:rPr>
        <w:t xml:space="preserve">, Rapport de la Commission du </w:t>
      </w:r>
      <w:proofErr w:type="spellStart"/>
      <w:r w:rsidRPr="00F9767F">
        <w:rPr>
          <w:rFonts w:asciiTheme="majorHAnsi" w:hAnsiTheme="majorHAnsi"/>
          <w:sz w:val="18"/>
          <w:szCs w:val="18"/>
          <w:lang w:val="fr-CH"/>
        </w:rPr>
        <w:t>Nunavik</w:t>
      </w:r>
      <w:proofErr w:type="spellEnd"/>
      <w:r w:rsidRPr="00F9767F">
        <w:rPr>
          <w:rFonts w:asciiTheme="majorHAnsi" w:hAnsiTheme="majorHAnsi"/>
          <w:sz w:val="18"/>
          <w:szCs w:val="18"/>
          <w:lang w:val="fr-CH"/>
        </w:rPr>
        <w:t>, mars 2001, p. 41.</w:t>
      </w:r>
    </w:p>
  </w:footnote>
  <w:footnote w:id="8">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i/>
          <w:sz w:val="18"/>
          <w:szCs w:val="18"/>
          <w:lang w:val="fr-CH"/>
        </w:rPr>
        <w:t>Ibid</w:t>
      </w:r>
      <w:r w:rsidRPr="00F9767F">
        <w:rPr>
          <w:rFonts w:asciiTheme="majorHAnsi" w:hAnsiTheme="majorHAnsi"/>
          <w:sz w:val="18"/>
          <w:szCs w:val="18"/>
          <w:lang w:val="fr-CH"/>
        </w:rPr>
        <w:t>., p. 20.</w:t>
      </w:r>
    </w:p>
  </w:footnote>
  <w:footnote w:id="9">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w:t>
      </w:r>
      <w:r w:rsidRPr="00F9767F">
        <w:rPr>
          <w:rFonts w:asciiTheme="majorHAnsi" w:hAnsiTheme="majorHAnsi"/>
          <w:i/>
          <w:sz w:val="18"/>
          <w:szCs w:val="18"/>
          <w:lang w:val="fr-CH"/>
        </w:rPr>
        <w:t>Ibid.</w:t>
      </w:r>
    </w:p>
  </w:footnote>
  <w:footnote w:id="10">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Soulignons que les Inuits du </w:t>
      </w:r>
      <w:proofErr w:type="spellStart"/>
      <w:r w:rsidRPr="00F9767F">
        <w:rPr>
          <w:rFonts w:asciiTheme="majorHAnsi" w:hAnsiTheme="majorHAnsi"/>
          <w:sz w:val="18"/>
          <w:szCs w:val="18"/>
          <w:lang w:val="fr-CH"/>
        </w:rPr>
        <w:t>Nunavik</w:t>
      </w:r>
      <w:proofErr w:type="spellEnd"/>
      <w:r w:rsidRPr="00F9767F">
        <w:rPr>
          <w:rFonts w:asciiTheme="majorHAnsi" w:hAnsiTheme="majorHAnsi"/>
          <w:sz w:val="18"/>
          <w:szCs w:val="18"/>
          <w:lang w:val="fr-CH"/>
        </w:rPr>
        <w:t>, contrairement aux autres Autochtones, paient déjà des taxes et des impôts.</w:t>
      </w:r>
    </w:p>
  </w:footnote>
  <w:footnote w:id="11">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Québec, </w:t>
      </w:r>
      <w:r w:rsidRPr="00F9767F">
        <w:rPr>
          <w:rFonts w:asciiTheme="majorHAnsi" w:hAnsiTheme="majorHAnsi"/>
          <w:i/>
          <w:sz w:val="18"/>
          <w:szCs w:val="18"/>
          <w:lang w:val="fr-CH"/>
        </w:rPr>
        <w:t xml:space="preserve">Tracer la voie vers un gouvernement pour le </w:t>
      </w:r>
      <w:proofErr w:type="spellStart"/>
      <w:r w:rsidRPr="00F9767F">
        <w:rPr>
          <w:rFonts w:asciiTheme="majorHAnsi" w:hAnsiTheme="majorHAnsi"/>
          <w:i/>
          <w:sz w:val="18"/>
          <w:szCs w:val="18"/>
          <w:lang w:val="fr-CH"/>
        </w:rPr>
        <w:t>Nunavik</w:t>
      </w:r>
      <w:proofErr w:type="spellEnd"/>
      <w:r w:rsidRPr="00F9767F">
        <w:rPr>
          <w:rFonts w:asciiTheme="majorHAnsi" w:hAnsiTheme="majorHAnsi"/>
          <w:i/>
          <w:sz w:val="18"/>
          <w:szCs w:val="18"/>
          <w:lang w:val="fr-CH"/>
        </w:rPr>
        <w:t xml:space="preserve">, op. </w:t>
      </w:r>
      <w:proofErr w:type="spellStart"/>
      <w:proofErr w:type="gramStart"/>
      <w:r w:rsidRPr="00F9767F">
        <w:rPr>
          <w:rFonts w:asciiTheme="majorHAnsi" w:hAnsiTheme="majorHAnsi"/>
          <w:i/>
          <w:sz w:val="18"/>
          <w:szCs w:val="18"/>
          <w:lang w:val="fr-CH"/>
        </w:rPr>
        <w:t>cit</w:t>
      </w:r>
      <w:proofErr w:type="spellEnd"/>
      <w:r w:rsidRPr="00F9767F">
        <w:rPr>
          <w:rFonts w:asciiTheme="majorHAnsi" w:hAnsiTheme="majorHAnsi"/>
          <w:i/>
          <w:sz w:val="18"/>
          <w:szCs w:val="18"/>
          <w:lang w:val="fr-CH"/>
        </w:rPr>
        <w:t>.</w:t>
      </w:r>
      <w:r w:rsidRPr="00F9767F">
        <w:rPr>
          <w:rFonts w:asciiTheme="majorHAnsi" w:hAnsiTheme="majorHAnsi"/>
          <w:sz w:val="18"/>
          <w:szCs w:val="18"/>
          <w:lang w:val="fr-CH"/>
        </w:rPr>
        <w:t>,</w:t>
      </w:r>
      <w:proofErr w:type="gramEnd"/>
      <w:r w:rsidRPr="00F9767F">
        <w:rPr>
          <w:rFonts w:asciiTheme="majorHAnsi" w:hAnsiTheme="majorHAnsi"/>
          <w:sz w:val="18"/>
          <w:szCs w:val="18"/>
          <w:lang w:val="fr-CH"/>
        </w:rPr>
        <w:t xml:space="preserve"> p. 21.</w:t>
      </w:r>
    </w:p>
  </w:footnote>
  <w:footnote w:id="12">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w:t>
      </w:r>
      <w:r w:rsidRPr="00F9767F">
        <w:rPr>
          <w:rFonts w:asciiTheme="majorHAnsi" w:hAnsiTheme="majorHAnsi"/>
          <w:i/>
          <w:sz w:val="18"/>
          <w:szCs w:val="18"/>
          <w:lang w:val="fr-CH"/>
        </w:rPr>
        <w:t>Ibid.</w:t>
      </w:r>
      <w:r w:rsidRPr="00F9767F">
        <w:rPr>
          <w:rFonts w:asciiTheme="majorHAnsi" w:hAnsiTheme="majorHAnsi"/>
          <w:sz w:val="18"/>
          <w:szCs w:val="18"/>
          <w:lang w:val="fr-CH"/>
        </w:rPr>
        <w:t>, p. 41.</w:t>
      </w:r>
    </w:p>
  </w:footnote>
  <w:footnote w:id="13">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Canada, </w:t>
      </w:r>
      <w:r w:rsidRPr="00F9767F">
        <w:rPr>
          <w:rFonts w:asciiTheme="majorHAnsi" w:hAnsiTheme="majorHAnsi"/>
          <w:i/>
          <w:sz w:val="18"/>
          <w:szCs w:val="18"/>
          <w:lang w:val="fr-CH"/>
        </w:rPr>
        <w:t xml:space="preserve">Accord sur les revendications territoriales des Inuits du </w:t>
      </w:r>
      <w:proofErr w:type="spellStart"/>
      <w:r w:rsidRPr="00F9767F">
        <w:rPr>
          <w:rFonts w:asciiTheme="majorHAnsi" w:hAnsiTheme="majorHAnsi"/>
          <w:i/>
          <w:sz w:val="18"/>
          <w:szCs w:val="18"/>
          <w:lang w:val="fr-CH"/>
        </w:rPr>
        <w:t>Nunavik</w:t>
      </w:r>
      <w:proofErr w:type="spellEnd"/>
      <w:r w:rsidRPr="00F9767F">
        <w:rPr>
          <w:rFonts w:asciiTheme="majorHAnsi" w:hAnsiTheme="majorHAnsi"/>
          <w:i/>
          <w:sz w:val="18"/>
          <w:szCs w:val="18"/>
          <w:vertAlign w:val="superscript"/>
        </w:rPr>
        <w:footnoteRef/>
      </w:r>
      <w:r w:rsidRPr="00F9767F">
        <w:rPr>
          <w:rFonts w:asciiTheme="majorHAnsi" w:hAnsiTheme="majorHAnsi"/>
          <w:i/>
          <w:sz w:val="18"/>
          <w:szCs w:val="18"/>
          <w:lang w:val="fr-CH"/>
        </w:rPr>
        <w:t>,  Affaires autochtones</w:t>
      </w:r>
      <w:r w:rsidRPr="00F9767F">
        <w:rPr>
          <w:rFonts w:asciiTheme="majorHAnsi" w:hAnsiTheme="majorHAnsi"/>
          <w:sz w:val="18"/>
          <w:szCs w:val="18"/>
          <w:lang w:val="fr-CH"/>
        </w:rPr>
        <w:t>, Affaires autochtones et développement du Nord, 2007.</w:t>
      </w:r>
    </w:p>
  </w:footnote>
  <w:footnote w:id="14">
    <w:p w:rsidR="009D06F2" w:rsidRPr="009D06F2" w:rsidRDefault="00F9767F">
      <w:pPr>
        <w:contextualSpacing/>
        <w:rPr>
          <w:rFonts w:asciiTheme="majorHAnsi" w:hAnsiTheme="majorHAnsi"/>
          <w:sz w:val="18"/>
          <w:szCs w:val="18"/>
          <w:lang w:val="fr-CA"/>
        </w:rPr>
      </w:pPr>
      <w:r w:rsidRPr="00F9767F">
        <w:rPr>
          <w:rStyle w:val="FootnoteReference"/>
          <w:rFonts w:asciiTheme="majorHAnsi" w:hAnsiTheme="majorHAnsi"/>
          <w:sz w:val="18"/>
          <w:szCs w:val="18"/>
        </w:rPr>
        <w:footnoteRef/>
      </w:r>
      <w:r w:rsidRPr="00F9767F">
        <w:rPr>
          <w:rFonts w:asciiTheme="majorHAnsi" w:hAnsiTheme="majorHAnsi"/>
          <w:sz w:val="18"/>
          <w:szCs w:val="18"/>
          <w:lang w:val="fr-CA"/>
        </w:rPr>
        <w:t xml:space="preserve"> </w:t>
      </w:r>
      <w:hyperlink r:id="rId10" w:history="1">
        <w:r w:rsidRPr="00F9767F">
          <w:rPr>
            <w:rStyle w:val="Hyperlink"/>
            <w:rFonts w:asciiTheme="majorHAnsi" w:hAnsiTheme="majorHAnsi"/>
            <w:sz w:val="18"/>
            <w:szCs w:val="18"/>
            <w:shd w:val="clear" w:color="auto" w:fill="FFFFFF"/>
            <w:lang w:val="fr-CA" w:eastAsia="fr-FR"/>
          </w:rPr>
          <w:t>http://www.aadnc-aandc.gc.ca/aiarch/mr/nr/j-a2007/2-2855-bk-fra.asp</w:t>
        </w:r>
      </w:hyperlink>
    </w:p>
  </w:footnote>
  <w:footnote w:id="15">
    <w:p w:rsidR="009D06F2" w:rsidRPr="009D06F2" w:rsidRDefault="00F9767F">
      <w:pPr>
        <w:contextualSpacing/>
        <w:rPr>
          <w:rFonts w:asciiTheme="majorHAnsi" w:hAnsiTheme="majorHAnsi"/>
          <w:sz w:val="18"/>
          <w:szCs w:val="18"/>
          <w:lang w:val="fr-CA"/>
        </w:rPr>
      </w:pPr>
      <w:r w:rsidRPr="00F9767F">
        <w:rPr>
          <w:rStyle w:val="FootnoteReference"/>
          <w:rFonts w:asciiTheme="majorHAnsi" w:hAnsiTheme="majorHAnsi"/>
          <w:sz w:val="18"/>
          <w:szCs w:val="18"/>
        </w:rPr>
        <w:footnoteRef/>
      </w:r>
      <w:r w:rsidRPr="00F9767F">
        <w:rPr>
          <w:rFonts w:asciiTheme="majorHAnsi" w:hAnsiTheme="majorHAnsi"/>
          <w:sz w:val="18"/>
          <w:szCs w:val="18"/>
          <w:lang w:val="fr-CA"/>
        </w:rPr>
        <w:t xml:space="preserve"> http://laws-lois.justice.gc.ca/fra/lois/T-7/TexteComplet.html.</w:t>
      </w:r>
    </w:p>
  </w:footnote>
  <w:footnote w:id="16">
    <w:p w:rsidR="009D06F2" w:rsidRPr="009D06F2" w:rsidRDefault="00F9767F" w:rsidP="00C339E8">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Communiqué de presse, </w:t>
      </w:r>
      <w:hyperlink r:id="rId11" w:history="1">
        <w:r w:rsidRPr="00F9767F">
          <w:rPr>
            <w:rStyle w:val="Hyperlink"/>
            <w:rFonts w:asciiTheme="majorHAnsi" w:hAnsiTheme="majorHAnsi"/>
            <w:sz w:val="18"/>
            <w:szCs w:val="18"/>
            <w:lang w:val="fr-CH"/>
          </w:rPr>
          <w:t>www.aadnc-gc.ca/aiarch/mr/nr/j-a2009/nr000000207-fra.asp</w:t>
        </w:r>
      </w:hyperlink>
    </w:p>
  </w:footnote>
  <w:footnote w:id="17">
    <w:p w:rsidR="009D06F2" w:rsidRPr="009D06F2" w:rsidRDefault="00F9767F">
      <w:pPr>
        <w:contextualSpacing/>
        <w:rPr>
          <w:rFonts w:asciiTheme="majorHAnsi" w:hAnsiTheme="majorHAnsi"/>
          <w:sz w:val="18"/>
          <w:szCs w:val="18"/>
          <w:lang w:val="fr-CH"/>
        </w:rPr>
      </w:pPr>
      <w:r w:rsidRPr="00F9767F">
        <w:rPr>
          <w:rStyle w:val="FootnoteReference"/>
          <w:rFonts w:asciiTheme="majorHAnsi" w:hAnsiTheme="majorHAnsi"/>
          <w:sz w:val="18"/>
          <w:szCs w:val="18"/>
        </w:rPr>
        <w:footnoteRef/>
      </w:r>
      <w:r w:rsidRPr="00F9767F">
        <w:rPr>
          <w:rFonts w:asciiTheme="majorHAnsi" w:hAnsiTheme="majorHAnsi"/>
          <w:sz w:val="18"/>
          <w:szCs w:val="18"/>
          <w:lang w:val="fr-CH"/>
        </w:rPr>
        <w:t xml:space="preserve">  Il faudrait apporter une distinction entre les divers types d’ententes territoriales ici en précisant que les Inuits, au </w:t>
      </w:r>
      <w:proofErr w:type="spellStart"/>
      <w:r w:rsidRPr="00F9767F">
        <w:rPr>
          <w:rFonts w:asciiTheme="majorHAnsi" w:hAnsiTheme="majorHAnsi"/>
          <w:sz w:val="18"/>
          <w:szCs w:val="18"/>
          <w:lang w:val="fr-CH"/>
        </w:rPr>
        <w:t>Nunavik</w:t>
      </w:r>
      <w:proofErr w:type="spellEnd"/>
      <w:r w:rsidRPr="00F9767F">
        <w:rPr>
          <w:rFonts w:asciiTheme="majorHAnsi" w:hAnsiTheme="majorHAnsi"/>
          <w:sz w:val="18"/>
          <w:szCs w:val="18"/>
          <w:lang w:val="fr-CH"/>
        </w:rPr>
        <w:t xml:space="preserve"> et au Nunavut, sont propriétaires des ressources souterraines sur des portions réduites du territoire.</w:t>
      </w:r>
    </w:p>
    <w:p w:rsidR="009D06F2" w:rsidRPr="009D06F2" w:rsidRDefault="009D06F2">
      <w:pPr>
        <w:contextualSpacing/>
        <w:rPr>
          <w:rFonts w:asciiTheme="majorHAnsi" w:hAnsiTheme="majorHAnsi"/>
          <w:sz w:val="18"/>
          <w:szCs w:val="18"/>
          <w:lang w:val="fr-CH"/>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520"/>
    <w:multiLevelType w:val="multilevel"/>
    <w:tmpl w:val="4CB4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97142"/>
    <w:multiLevelType w:val="multilevel"/>
    <w:tmpl w:val="8856C2E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33642"/>
    <w:multiLevelType w:val="hybridMultilevel"/>
    <w:tmpl w:val="8AF4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44792"/>
    <w:multiLevelType w:val="multilevel"/>
    <w:tmpl w:val="E3048B52"/>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A3201"/>
    <w:multiLevelType w:val="multilevel"/>
    <w:tmpl w:val="119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6398C"/>
    <w:multiLevelType w:val="multilevel"/>
    <w:tmpl w:val="C908BE9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E3FBC"/>
    <w:multiLevelType w:val="hybridMultilevel"/>
    <w:tmpl w:val="A5D20F08"/>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A5354"/>
    <w:multiLevelType w:val="multilevel"/>
    <w:tmpl w:val="EF8E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619CE"/>
    <w:multiLevelType w:val="multilevel"/>
    <w:tmpl w:val="514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666BD"/>
    <w:multiLevelType w:val="multilevel"/>
    <w:tmpl w:val="5C30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C0A9E"/>
    <w:multiLevelType w:val="hybridMultilevel"/>
    <w:tmpl w:val="229E5230"/>
    <w:lvl w:ilvl="0" w:tplc="5D587752">
      <w:start w:val="1"/>
      <w:numFmt w:val="bullet"/>
      <w:lvlText w:val="•"/>
      <w:lvlJc w:val="left"/>
      <w:pPr>
        <w:tabs>
          <w:tab w:val="num" w:pos="720"/>
        </w:tabs>
        <w:ind w:left="720" w:hanging="360"/>
      </w:pPr>
      <w:rPr>
        <w:rFonts w:ascii="Times New Roman" w:hAnsi="Times New Roman" w:hint="default"/>
      </w:rPr>
    </w:lvl>
    <w:lvl w:ilvl="1" w:tplc="F11A396E">
      <w:start w:val="1"/>
      <w:numFmt w:val="bullet"/>
      <w:lvlText w:val="•"/>
      <w:lvlJc w:val="left"/>
      <w:pPr>
        <w:tabs>
          <w:tab w:val="num" w:pos="1440"/>
        </w:tabs>
        <w:ind w:left="1440" w:hanging="360"/>
      </w:pPr>
      <w:rPr>
        <w:rFonts w:ascii="Times New Roman" w:hAnsi="Times New Roman" w:hint="default"/>
      </w:rPr>
    </w:lvl>
    <w:lvl w:ilvl="2" w:tplc="A436271A" w:tentative="1">
      <w:start w:val="1"/>
      <w:numFmt w:val="bullet"/>
      <w:lvlText w:val="•"/>
      <w:lvlJc w:val="left"/>
      <w:pPr>
        <w:tabs>
          <w:tab w:val="num" w:pos="2160"/>
        </w:tabs>
        <w:ind w:left="2160" w:hanging="360"/>
      </w:pPr>
      <w:rPr>
        <w:rFonts w:ascii="Times New Roman" w:hAnsi="Times New Roman" w:hint="default"/>
      </w:rPr>
    </w:lvl>
    <w:lvl w:ilvl="3" w:tplc="680CFDD6" w:tentative="1">
      <w:start w:val="1"/>
      <w:numFmt w:val="bullet"/>
      <w:lvlText w:val="•"/>
      <w:lvlJc w:val="left"/>
      <w:pPr>
        <w:tabs>
          <w:tab w:val="num" w:pos="2880"/>
        </w:tabs>
        <w:ind w:left="2880" w:hanging="360"/>
      </w:pPr>
      <w:rPr>
        <w:rFonts w:ascii="Times New Roman" w:hAnsi="Times New Roman" w:hint="default"/>
      </w:rPr>
    </w:lvl>
    <w:lvl w:ilvl="4" w:tplc="C1C41888" w:tentative="1">
      <w:start w:val="1"/>
      <w:numFmt w:val="bullet"/>
      <w:lvlText w:val="•"/>
      <w:lvlJc w:val="left"/>
      <w:pPr>
        <w:tabs>
          <w:tab w:val="num" w:pos="3600"/>
        </w:tabs>
        <w:ind w:left="3600" w:hanging="360"/>
      </w:pPr>
      <w:rPr>
        <w:rFonts w:ascii="Times New Roman" w:hAnsi="Times New Roman" w:hint="default"/>
      </w:rPr>
    </w:lvl>
    <w:lvl w:ilvl="5" w:tplc="6A62BCD0" w:tentative="1">
      <w:start w:val="1"/>
      <w:numFmt w:val="bullet"/>
      <w:lvlText w:val="•"/>
      <w:lvlJc w:val="left"/>
      <w:pPr>
        <w:tabs>
          <w:tab w:val="num" w:pos="4320"/>
        </w:tabs>
        <w:ind w:left="4320" w:hanging="360"/>
      </w:pPr>
      <w:rPr>
        <w:rFonts w:ascii="Times New Roman" w:hAnsi="Times New Roman" w:hint="default"/>
      </w:rPr>
    </w:lvl>
    <w:lvl w:ilvl="6" w:tplc="2C32C53E" w:tentative="1">
      <w:start w:val="1"/>
      <w:numFmt w:val="bullet"/>
      <w:lvlText w:val="•"/>
      <w:lvlJc w:val="left"/>
      <w:pPr>
        <w:tabs>
          <w:tab w:val="num" w:pos="5040"/>
        </w:tabs>
        <w:ind w:left="5040" w:hanging="360"/>
      </w:pPr>
      <w:rPr>
        <w:rFonts w:ascii="Times New Roman" w:hAnsi="Times New Roman" w:hint="default"/>
      </w:rPr>
    </w:lvl>
    <w:lvl w:ilvl="7" w:tplc="61DA58A6" w:tentative="1">
      <w:start w:val="1"/>
      <w:numFmt w:val="bullet"/>
      <w:lvlText w:val="•"/>
      <w:lvlJc w:val="left"/>
      <w:pPr>
        <w:tabs>
          <w:tab w:val="num" w:pos="5760"/>
        </w:tabs>
        <w:ind w:left="5760" w:hanging="360"/>
      </w:pPr>
      <w:rPr>
        <w:rFonts w:ascii="Times New Roman" w:hAnsi="Times New Roman" w:hint="default"/>
      </w:rPr>
    </w:lvl>
    <w:lvl w:ilvl="8" w:tplc="55B2ED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B54DE8"/>
    <w:multiLevelType w:val="multilevel"/>
    <w:tmpl w:val="23AE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BF134B"/>
    <w:multiLevelType w:val="multilevel"/>
    <w:tmpl w:val="CF4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E359D"/>
    <w:multiLevelType w:val="hybridMultilevel"/>
    <w:tmpl w:val="AE3CE87A"/>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F49E4"/>
    <w:multiLevelType w:val="hybridMultilevel"/>
    <w:tmpl w:val="F9D6518E"/>
    <w:lvl w:ilvl="0" w:tplc="4DECE61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B3E6B"/>
    <w:multiLevelType w:val="multilevel"/>
    <w:tmpl w:val="860626D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11"/>
  </w:num>
  <w:num w:numId="5">
    <w:abstractNumId w:val="12"/>
  </w:num>
  <w:num w:numId="6">
    <w:abstractNumId w:val="9"/>
  </w:num>
  <w:num w:numId="7">
    <w:abstractNumId w:val="8"/>
  </w:num>
  <w:num w:numId="8">
    <w:abstractNumId w:val="3"/>
  </w:num>
  <w:num w:numId="9">
    <w:abstractNumId w:val="1"/>
  </w:num>
  <w:num w:numId="10">
    <w:abstractNumId w:val="15"/>
  </w:num>
  <w:num w:numId="11">
    <w:abstractNumId w:val="5"/>
  </w:num>
  <w:num w:numId="12">
    <w:abstractNumId w:val="13"/>
  </w:num>
  <w:num w:numId="13">
    <w:abstractNumId w:val="2"/>
  </w:num>
  <w:num w:numId="14">
    <w:abstractNumId w:val="6"/>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useFELayout/>
  </w:compat>
  <w:rsids>
    <w:rsidRoot w:val="00D735BF"/>
    <w:rsid w:val="00004E39"/>
    <w:rsid w:val="00011EC5"/>
    <w:rsid w:val="00015D78"/>
    <w:rsid w:val="00017256"/>
    <w:rsid w:val="0003001F"/>
    <w:rsid w:val="00030979"/>
    <w:rsid w:val="000312E1"/>
    <w:rsid w:val="00044559"/>
    <w:rsid w:val="0004474E"/>
    <w:rsid w:val="00051614"/>
    <w:rsid w:val="00062320"/>
    <w:rsid w:val="0006718D"/>
    <w:rsid w:val="00074B78"/>
    <w:rsid w:val="0009298A"/>
    <w:rsid w:val="000967DE"/>
    <w:rsid w:val="000A2EA1"/>
    <w:rsid w:val="000A3817"/>
    <w:rsid w:val="000A3BB1"/>
    <w:rsid w:val="000B1102"/>
    <w:rsid w:val="000B31C5"/>
    <w:rsid w:val="000B70F4"/>
    <w:rsid w:val="000C5838"/>
    <w:rsid w:val="000D6E4B"/>
    <w:rsid w:val="000F65A6"/>
    <w:rsid w:val="000F6926"/>
    <w:rsid w:val="00142866"/>
    <w:rsid w:val="00145C39"/>
    <w:rsid w:val="00154D53"/>
    <w:rsid w:val="00154E31"/>
    <w:rsid w:val="00161D01"/>
    <w:rsid w:val="00162DDA"/>
    <w:rsid w:val="001828DE"/>
    <w:rsid w:val="00185FD4"/>
    <w:rsid w:val="001905A2"/>
    <w:rsid w:val="001A156F"/>
    <w:rsid w:val="001A3CE4"/>
    <w:rsid w:val="001A7B69"/>
    <w:rsid w:val="001C0918"/>
    <w:rsid w:val="001C2EFA"/>
    <w:rsid w:val="001C3A73"/>
    <w:rsid w:val="001D50F6"/>
    <w:rsid w:val="001D78C5"/>
    <w:rsid w:val="001E5EBE"/>
    <w:rsid w:val="002017B3"/>
    <w:rsid w:val="00215AAC"/>
    <w:rsid w:val="00253DA1"/>
    <w:rsid w:val="00256B49"/>
    <w:rsid w:val="00260374"/>
    <w:rsid w:val="002614F5"/>
    <w:rsid w:val="0026326E"/>
    <w:rsid w:val="002744A1"/>
    <w:rsid w:val="002771A9"/>
    <w:rsid w:val="00290AF3"/>
    <w:rsid w:val="00297D3B"/>
    <w:rsid w:val="002B26FC"/>
    <w:rsid w:val="002B3204"/>
    <w:rsid w:val="002B446B"/>
    <w:rsid w:val="002B7ACC"/>
    <w:rsid w:val="002C233D"/>
    <w:rsid w:val="002C646B"/>
    <w:rsid w:val="002E26A8"/>
    <w:rsid w:val="002E565D"/>
    <w:rsid w:val="002F5369"/>
    <w:rsid w:val="00301D18"/>
    <w:rsid w:val="003034C5"/>
    <w:rsid w:val="00303997"/>
    <w:rsid w:val="003057D0"/>
    <w:rsid w:val="003061F8"/>
    <w:rsid w:val="00306AEE"/>
    <w:rsid w:val="00306FF2"/>
    <w:rsid w:val="00315895"/>
    <w:rsid w:val="003217D4"/>
    <w:rsid w:val="00321B41"/>
    <w:rsid w:val="00325A8A"/>
    <w:rsid w:val="003271BB"/>
    <w:rsid w:val="0033396B"/>
    <w:rsid w:val="003343FF"/>
    <w:rsid w:val="0033463E"/>
    <w:rsid w:val="003353FE"/>
    <w:rsid w:val="003445E4"/>
    <w:rsid w:val="003509EA"/>
    <w:rsid w:val="00351E10"/>
    <w:rsid w:val="00361519"/>
    <w:rsid w:val="00365C56"/>
    <w:rsid w:val="0036714C"/>
    <w:rsid w:val="0037731D"/>
    <w:rsid w:val="003806A4"/>
    <w:rsid w:val="003912CB"/>
    <w:rsid w:val="003A54FC"/>
    <w:rsid w:val="003B7548"/>
    <w:rsid w:val="003C5F94"/>
    <w:rsid w:val="003E498D"/>
    <w:rsid w:val="00402165"/>
    <w:rsid w:val="00402459"/>
    <w:rsid w:val="00402DF9"/>
    <w:rsid w:val="00416390"/>
    <w:rsid w:val="004214A0"/>
    <w:rsid w:val="00427702"/>
    <w:rsid w:val="00432481"/>
    <w:rsid w:val="00434336"/>
    <w:rsid w:val="00437272"/>
    <w:rsid w:val="00442899"/>
    <w:rsid w:val="00443334"/>
    <w:rsid w:val="00453C9B"/>
    <w:rsid w:val="00453EA9"/>
    <w:rsid w:val="00460006"/>
    <w:rsid w:val="0046180B"/>
    <w:rsid w:val="00462BE1"/>
    <w:rsid w:val="004639A1"/>
    <w:rsid w:val="00474D8B"/>
    <w:rsid w:val="00477A4A"/>
    <w:rsid w:val="004A6368"/>
    <w:rsid w:val="004B15B6"/>
    <w:rsid w:val="004C679D"/>
    <w:rsid w:val="004C7E54"/>
    <w:rsid w:val="004D5A7A"/>
    <w:rsid w:val="004E04A2"/>
    <w:rsid w:val="004E4ED4"/>
    <w:rsid w:val="004F0C23"/>
    <w:rsid w:val="00501232"/>
    <w:rsid w:val="005107D9"/>
    <w:rsid w:val="00511684"/>
    <w:rsid w:val="0051647E"/>
    <w:rsid w:val="00520991"/>
    <w:rsid w:val="00524BF0"/>
    <w:rsid w:val="00530BE4"/>
    <w:rsid w:val="005419D1"/>
    <w:rsid w:val="00542C65"/>
    <w:rsid w:val="00542D21"/>
    <w:rsid w:val="00543943"/>
    <w:rsid w:val="00545F76"/>
    <w:rsid w:val="005562B3"/>
    <w:rsid w:val="00571AD4"/>
    <w:rsid w:val="0057507D"/>
    <w:rsid w:val="00576D2B"/>
    <w:rsid w:val="00590EC9"/>
    <w:rsid w:val="005A6C2C"/>
    <w:rsid w:val="005A7406"/>
    <w:rsid w:val="005B3638"/>
    <w:rsid w:val="005C063D"/>
    <w:rsid w:val="005C18D8"/>
    <w:rsid w:val="005C32C1"/>
    <w:rsid w:val="005D2331"/>
    <w:rsid w:val="005D5EE7"/>
    <w:rsid w:val="005E1D17"/>
    <w:rsid w:val="005F24A6"/>
    <w:rsid w:val="006115AE"/>
    <w:rsid w:val="006147F6"/>
    <w:rsid w:val="00624272"/>
    <w:rsid w:val="00632E6A"/>
    <w:rsid w:val="006416B8"/>
    <w:rsid w:val="00656FE3"/>
    <w:rsid w:val="00663DC6"/>
    <w:rsid w:val="0066783D"/>
    <w:rsid w:val="006710A9"/>
    <w:rsid w:val="0069149C"/>
    <w:rsid w:val="00694166"/>
    <w:rsid w:val="00694DBC"/>
    <w:rsid w:val="00695D20"/>
    <w:rsid w:val="00695EFB"/>
    <w:rsid w:val="006A0F2B"/>
    <w:rsid w:val="006A7631"/>
    <w:rsid w:val="006B3536"/>
    <w:rsid w:val="006B421F"/>
    <w:rsid w:val="006C67AF"/>
    <w:rsid w:val="006D1991"/>
    <w:rsid w:val="006D2270"/>
    <w:rsid w:val="006E024F"/>
    <w:rsid w:val="006E4465"/>
    <w:rsid w:val="006F10AF"/>
    <w:rsid w:val="006F6FDC"/>
    <w:rsid w:val="006F7AE6"/>
    <w:rsid w:val="006F7E40"/>
    <w:rsid w:val="00701912"/>
    <w:rsid w:val="00703312"/>
    <w:rsid w:val="0070733A"/>
    <w:rsid w:val="00710DB4"/>
    <w:rsid w:val="00714379"/>
    <w:rsid w:val="00717F36"/>
    <w:rsid w:val="00720AAA"/>
    <w:rsid w:val="00721F2B"/>
    <w:rsid w:val="00732E68"/>
    <w:rsid w:val="00746E1A"/>
    <w:rsid w:val="00747767"/>
    <w:rsid w:val="0075234D"/>
    <w:rsid w:val="00752964"/>
    <w:rsid w:val="00763587"/>
    <w:rsid w:val="00766C3B"/>
    <w:rsid w:val="007756A4"/>
    <w:rsid w:val="007A79D7"/>
    <w:rsid w:val="007D56C7"/>
    <w:rsid w:val="007E07DD"/>
    <w:rsid w:val="007E0E37"/>
    <w:rsid w:val="007E64FE"/>
    <w:rsid w:val="00803FB7"/>
    <w:rsid w:val="0080796D"/>
    <w:rsid w:val="0081099D"/>
    <w:rsid w:val="00810DE9"/>
    <w:rsid w:val="00823187"/>
    <w:rsid w:val="0082402F"/>
    <w:rsid w:val="00824A7E"/>
    <w:rsid w:val="00836E6A"/>
    <w:rsid w:val="00842A5E"/>
    <w:rsid w:val="00850CF7"/>
    <w:rsid w:val="00851364"/>
    <w:rsid w:val="00855709"/>
    <w:rsid w:val="00863AEB"/>
    <w:rsid w:val="008648FB"/>
    <w:rsid w:val="00876691"/>
    <w:rsid w:val="00881A83"/>
    <w:rsid w:val="00885E95"/>
    <w:rsid w:val="00891E6B"/>
    <w:rsid w:val="008934C8"/>
    <w:rsid w:val="00893BA6"/>
    <w:rsid w:val="0089575F"/>
    <w:rsid w:val="00895B1D"/>
    <w:rsid w:val="008B0D7D"/>
    <w:rsid w:val="008B54D0"/>
    <w:rsid w:val="008C2089"/>
    <w:rsid w:val="008C3138"/>
    <w:rsid w:val="008E1D86"/>
    <w:rsid w:val="008E219F"/>
    <w:rsid w:val="00902989"/>
    <w:rsid w:val="009072A0"/>
    <w:rsid w:val="009205E5"/>
    <w:rsid w:val="00924FA4"/>
    <w:rsid w:val="0092583F"/>
    <w:rsid w:val="00933E28"/>
    <w:rsid w:val="0093535E"/>
    <w:rsid w:val="00935879"/>
    <w:rsid w:val="00942E00"/>
    <w:rsid w:val="009533CA"/>
    <w:rsid w:val="00960423"/>
    <w:rsid w:val="00962529"/>
    <w:rsid w:val="0097035D"/>
    <w:rsid w:val="00971642"/>
    <w:rsid w:val="00982FC0"/>
    <w:rsid w:val="0099491E"/>
    <w:rsid w:val="009A27E9"/>
    <w:rsid w:val="009A4039"/>
    <w:rsid w:val="009B088A"/>
    <w:rsid w:val="009B56C9"/>
    <w:rsid w:val="009B6760"/>
    <w:rsid w:val="009B6D0D"/>
    <w:rsid w:val="009C0F15"/>
    <w:rsid w:val="009C41A6"/>
    <w:rsid w:val="009D06F2"/>
    <w:rsid w:val="009D1374"/>
    <w:rsid w:val="009D1805"/>
    <w:rsid w:val="009D3B3B"/>
    <w:rsid w:val="009D5457"/>
    <w:rsid w:val="009E004A"/>
    <w:rsid w:val="009E1FE6"/>
    <w:rsid w:val="009F38D3"/>
    <w:rsid w:val="00A30A43"/>
    <w:rsid w:val="00A40D3E"/>
    <w:rsid w:val="00A43426"/>
    <w:rsid w:val="00A47AD6"/>
    <w:rsid w:val="00A5328D"/>
    <w:rsid w:val="00A53E13"/>
    <w:rsid w:val="00A53F21"/>
    <w:rsid w:val="00A550ED"/>
    <w:rsid w:val="00A56D76"/>
    <w:rsid w:val="00A70AC4"/>
    <w:rsid w:val="00A80D39"/>
    <w:rsid w:val="00A814A6"/>
    <w:rsid w:val="00A82DBE"/>
    <w:rsid w:val="00A9431D"/>
    <w:rsid w:val="00AA2658"/>
    <w:rsid w:val="00AB1EE9"/>
    <w:rsid w:val="00AB2444"/>
    <w:rsid w:val="00AB7E2D"/>
    <w:rsid w:val="00AC0728"/>
    <w:rsid w:val="00AC0A9B"/>
    <w:rsid w:val="00AE2434"/>
    <w:rsid w:val="00AF17B5"/>
    <w:rsid w:val="00B003A9"/>
    <w:rsid w:val="00B01B9F"/>
    <w:rsid w:val="00B1182E"/>
    <w:rsid w:val="00B20DDB"/>
    <w:rsid w:val="00B237AB"/>
    <w:rsid w:val="00B41BE9"/>
    <w:rsid w:val="00B54245"/>
    <w:rsid w:val="00B66E02"/>
    <w:rsid w:val="00B91687"/>
    <w:rsid w:val="00B9431D"/>
    <w:rsid w:val="00BA268C"/>
    <w:rsid w:val="00BA32D9"/>
    <w:rsid w:val="00BA4EF5"/>
    <w:rsid w:val="00BA595A"/>
    <w:rsid w:val="00BA5A22"/>
    <w:rsid w:val="00BC0C4B"/>
    <w:rsid w:val="00BC3703"/>
    <w:rsid w:val="00BC4B2F"/>
    <w:rsid w:val="00BE0521"/>
    <w:rsid w:val="00BF3040"/>
    <w:rsid w:val="00C11F0A"/>
    <w:rsid w:val="00C22AD7"/>
    <w:rsid w:val="00C25D38"/>
    <w:rsid w:val="00C2792B"/>
    <w:rsid w:val="00C31A3C"/>
    <w:rsid w:val="00C339E8"/>
    <w:rsid w:val="00C3585C"/>
    <w:rsid w:val="00C44609"/>
    <w:rsid w:val="00C468D5"/>
    <w:rsid w:val="00C51B81"/>
    <w:rsid w:val="00C5443A"/>
    <w:rsid w:val="00C54A68"/>
    <w:rsid w:val="00C54F5D"/>
    <w:rsid w:val="00C57D8C"/>
    <w:rsid w:val="00C60660"/>
    <w:rsid w:val="00C61511"/>
    <w:rsid w:val="00C6160A"/>
    <w:rsid w:val="00C72D65"/>
    <w:rsid w:val="00C73CB7"/>
    <w:rsid w:val="00C81966"/>
    <w:rsid w:val="00C87ADA"/>
    <w:rsid w:val="00C9312E"/>
    <w:rsid w:val="00CB1C05"/>
    <w:rsid w:val="00CB7BEE"/>
    <w:rsid w:val="00CC2ABE"/>
    <w:rsid w:val="00CD22B8"/>
    <w:rsid w:val="00CD31E4"/>
    <w:rsid w:val="00CE05A7"/>
    <w:rsid w:val="00CE3FFF"/>
    <w:rsid w:val="00CE658C"/>
    <w:rsid w:val="00CF733E"/>
    <w:rsid w:val="00D04D7A"/>
    <w:rsid w:val="00D050C2"/>
    <w:rsid w:val="00D072AE"/>
    <w:rsid w:val="00D07A54"/>
    <w:rsid w:val="00D07D50"/>
    <w:rsid w:val="00D1086F"/>
    <w:rsid w:val="00D1238D"/>
    <w:rsid w:val="00D26C6B"/>
    <w:rsid w:val="00D3260F"/>
    <w:rsid w:val="00D473FC"/>
    <w:rsid w:val="00D5092F"/>
    <w:rsid w:val="00D52F60"/>
    <w:rsid w:val="00D546A5"/>
    <w:rsid w:val="00D66F09"/>
    <w:rsid w:val="00D678CF"/>
    <w:rsid w:val="00D712FA"/>
    <w:rsid w:val="00D735BF"/>
    <w:rsid w:val="00D839D4"/>
    <w:rsid w:val="00D84E4C"/>
    <w:rsid w:val="00D851B3"/>
    <w:rsid w:val="00D91731"/>
    <w:rsid w:val="00D94EB1"/>
    <w:rsid w:val="00D95749"/>
    <w:rsid w:val="00DA490F"/>
    <w:rsid w:val="00DA5C56"/>
    <w:rsid w:val="00DC355B"/>
    <w:rsid w:val="00DE4C60"/>
    <w:rsid w:val="00DE58D1"/>
    <w:rsid w:val="00DF004A"/>
    <w:rsid w:val="00DF7A48"/>
    <w:rsid w:val="00E013B7"/>
    <w:rsid w:val="00E03071"/>
    <w:rsid w:val="00E1371D"/>
    <w:rsid w:val="00E217DF"/>
    <w:rsid w:val="00E219F8"/>
    <w:rsid w:val="00E31F8E"/>
    <w:rsid w:val="00E41042"/>
    <w:rsid w:val="00E527F7"/>
    <w:rsid w:val="00E542BB"/>
    <w:rsid w:val="00E65B29"/>
    <w:rsid w:val="00E70E61"/>
    <w:rsid w:val="00E77920"/>
    <w:rsid w:val="00E83FEA"/>
    <w:rsid w:val="00E86DCE"/>
    <w:rsid w:val="00E9777F"/>
    <w:rsid w:val="00EA3F15"/>
    <w:rsid w:val="00EA5369"/>
    <w:rsid w:val="00EB0FCB"/>
    <w:rsid w:val="00EC3E9B"/>
    <w:rsid w:val="00EC62F8"/>
    <w:rsid w:val="00EC67AB"/>
    <w:rsid w:val="00ED2DC4"/>
    <w:rsid w:val="00EE0766"/>
    <w:rsid w:val="00EF0078"/>
    <w:rsid w:val="00EF35D2"/>
    <w:rsid w:val="00EF5837"/>
    <w:rsid w:val="00EF73E4"/>
    <w:rsid w:val="00F01451"/>
    <w:rsid w:val="00F02679"/>
    <w:rsid w:val="00F02AC8"/>
    <w:rsid w:val="00F172FF"/>
    <w:rsid w:val="00F176E8"/>
    <w:rsid w:val="00F30909"/>
    <w:rsid w:val="00F30E0C"/>
    <w:rsid w:val="00F44747"/>
    <w:rsid w:val="00F536EA"/>
    <w:rsid w:val="00F61E3E"/>
    <w:rsid w:val="00F6461D"/>
    <w:rsid w:val="00F718A5"/>
    <w:rsid w:val="00F737C2"/>
    <w:rsid w:val="00F7397E"/>
    <w:rsid w:val="00F77B5F"/>
    <w:rsid w:val="00F9767F"/>
    <w:rsid w:val="00F9768F"/>
    <w:rsid w:val="00FA108E"/>
    <w:rsid w:val="00FA398F"/>
    <w:rsid w:val="00FA5DE0"/>
    <w:rsid w:val="00FB37E4"/>
    <w:rsid w:val="00FC3D3C"/>
    <w:rsid w:val="00FC54E5"/>
    <w:rsid w:val="00FD0F98"/>
    <w:rsid w:val="00FD2E84"/>
    <w:rsid w:val="00FD3179"/>
    <w:rsid w:val="00FD35E3"/>
    <w:rsid w:val="00FD39C6"/>
    <w:rsid w:val="00FD40C1"/>
    <w:rsid w:val="00FD6333"/>
    <w:rsid w:val="00FD7FDD"/>
    <w:rsid w:val="00FF6A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heading 2" w:uiPriority="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49C"/>
  </w:style>
  <w:style w:type="paragraph" w:styleId="Heading2">
    <w:name w:val="heading 2"/>
    <w:basedOn w:val="Normal"/>
    <w:link w:val="Heading2Char"/>
    <w:uiPriority w:val="9"/>
    <w:rsid w:val="00A550ED"/>
    <w:pPr>
      <w:spacing w:beforeLines="1" w:afterLines="1"/>
      <w:outlineLvl w:val="1"/>
    </w:pPr>
    <w:rPr>
      <w:rFonts w:ascii="Times" w:hAnsi="Times"/>
      <w:b/>
      <w:sz w:val="36"/>
      <w:szCs w:val="20"/>
      <w:lang w:eastAsia="fr-FR"/>
    </w:rPr>
  </w:style>
  <w:style w:type="paragraph" w:styleId="Heading3">
    <w:name w:val="heading 3"/>
    <w:basedOn w:val="Normal"/>
    <w:next w:val="Normal"/>
    <w:link w:val="Heading3Char"/>
    <w:rsid w:val="00BA59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87C"/>
    <w:rPr>
      <w:rFonts w:ascii="Lucida Grande" w:hAnsi="Lucida Grande" w:cs="Lucida Grande"/>
      <w:sz w:val="18"/>
      <w:szCs w:val="18"/>
    </w:rPr>
  </w:style>
  <w:style w:type="character" w:customStyle="1" w:styleId="TextedebullesCar">
    <w:name w:val="Texte de bulles Car"/>
    <w:basedOn w:val="DefaultParagraphFont"/>
    <w:uiPriority w:val="99"/>
    <w:semiHidden/>
    <w:rsid w:val="0006465E"/>
    <w:rPr>
      <w:rFonts w:ascii="Lucida Grande" w:hAnsi="Lucida Grande" w:cs="Lucida Grande"/>
      <w:sz w:val="18"/>
      <w:szCs w:val="18"/>
    </w:rPr>
  </w:style>
  <w:style w:type="character" w:customStyle="1" w:styleId="TextedebullesCar10">
    <w:name w:val="Texte de bulles Car10"/>
    <w:basedOn w:val="DefaultParagraphFont"/>
    <w:uiPriority w:val="99"/>
    <w:semiHidden/>
    <w:rsid w:val="0006465E"/>
    <w:rPr>
      <w:rFonts w:ascii="Lucida Grande" w:hAnsi="Lucida Grande" w:cs="Lucida Grande"/>
      <w:sz w:val="18"/>
      <w:szCs w:val="18"/>
    </w:rPr>
  </w:style>
  <w:style w:type="character" w:customStyle="1" w:styleId="TextedebullesCar9">
    <w:name w:val="Texte de bulles Car9"/>
    <w:basedOn w:val="DefaultParagraphFont"/>
    <w:uiPriority w:val="99"/>
    <w:semiHidden/>
    <w:rsid w:val="0006465E"/>
    <w:rPr>
      <w:rFonts w:ascii="Lucida Grande" w:hAnsi="Lucida Grande" w:cs="Lucida Grande"/>
      <w:sz w:val="18"/>
      <w:szCs w:val="18"/>
    </w:rPr>
  </w:style>
  <w:style w:type="character" w:customStyle="1" w:styleId="TextedebullesCar8">
    <w:name w:val="Texte de bulles Car8"/>
    <w:basedOn w:val="DefaultParagraphFont"/>
    <w:uiPriority w:val="99"/>
    <w:semiHidden/>
    <w:rsid w:val="0006465E"/>
    <w:rPr>
      <w:rFonts w:ascii="Lucida Grande" w:hAnsi="Lucida Grande" w:cs="Lucida Grande"/>
      <w:sz w:val="18"/>
      <w:szCs w:val="18"/>
    </w:rPr>
  </w:style>
  <w:style w:type="character" w:customStyle="1" w:styleId="TextedebullesCar7">
    <w:name w:val="Texte de bulles Car7"/>
    <w:basedOn w:val="DefaultParagraphFont"/>
    <w:uiPriority w:val="99"/>
    <w:semiHidden/>
    <w:rsid w:val="0006465E"/>
    <w:rPr>
      <w:rFonts w:ascii="Lucida Grande" w:hAnsi="Lucida Grande" w:cs="Lucida Grande"/>
      <w:sz w:val="18"/>
      <w:szCs w:val="18"/>
    </w:rPr>
  </w:style>
  <w:style w:type="character" w:customStyle="1" w:styleId="TextedebullesCar6">
    <w:name w:val="Texte de bulles Car6"/>
    <w:basedOn w:val="DefaultParagraphFont"/>
    <w:uiPriority w:val="99"/>
    <w:semiHidden/>
    <w:rsid w:val="0006465E"/>
    <w:rPr>
      <w:rFonts w:ascii="Lucida Grande" w:hAnsi="Lucida Grande" w:cs="Lucida Grande"/>
      <w:sz w:val="18"/>
      <w:szCs w:val="18"/>
    </w:rPr>
  </w:style>
  <w:style w:type="character" w:customStyle="1" w:styleId="TextedebullesCar5">
    <w:name w:val="Texte de bulles Car5"/>
    <w:basedOn w:val="DefaultParagraphFont"/>
    <w:uiPriority w:val="99"/>
    <w:semiHidden/>
    <w:rsid w:val="00F3387C"/>
    <w:rPr>
      <w:rFonts w:ascii="Lucida Grande" w:hAnsi="Lucida Grande" w:cs="Lucida Grande"/>
      <w:sz w:val="18"/>
      <w:szCs w:val="18"/>
    </w:rPr>
  </w:style>
  <w:style w:type="character" w:customStyle="1" w:styleId="TextedebullesCar4">
    <w:name w:val="Texte de bulles Car4"/>
    <w:basedOn w:val="DefaultParagraphFont"/>
    <w:uiPriority w:val="99"/>
    <w:semiHidden/>
    <w:rsid w:val="00F3387C"/>
    <w:rPr>
      <w:rFonts w:ascii="Lucida Grande" w:hAnsi="Lucida Grande" w:cs="Lucida Grande"/>
      <w:sz w:val="18"/>
      <w:szCs w:val="18"/>
    </w:rPr>
  </w:style>
  <w:style w:type="character" w:customStyle="1" w:styleId="TextedebullesCar3">
    <w:name w:val="Texte de bulles Car3"/>
    <w:basedOn w:val="DefaultParagraphFont"/>
    <w:uiPriority w:val="99"/>
    <w:semiHidden/>
    <w:rsid w:val="00F3387C"/>
    <w:rPr>
      <w:rFonts w:ascii="Lucida Grande" w:hAnsi="Lucida Grande" w:cs="Lucida Grande"/>
      <w:sz w:val="18"/>
      <w:szCs w:val="18"/>
    </w:rPr>
  </w:style>
  <w:style w:type="character" w:customStyle="1" w:styleId="TextedebullesCar2">
    <w:name w:val="Texte de bulles Car2"/>
    <w:basedOn w:val="DefaultParagraphFont"/>
    <w:uiPriority w:val="99"/>
    <w:semiHidden/>
    <w:rsid w:val="00F33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87C"/>
    <w:rPr>
      <w:rFonts w:ascii="Lucida Grande" w:hAnsi="Lucida Grande" w:cs="Lucida Grande"/>
      <w:sz w:val="18"/>
      <w:szCs w:val="18"/>
    </w:rPr>
  </w:style>
  <w:style w:type="paragraph" w:styleId="Footer">
    <w:name w:val="footer"/>
    <w:basedOn w:val="Normal"/>
    <w:link w:val="FooterChar"/>
    <w:uiPriority w:val="99"/>
    <w:semiHidden/>
    <w:unhideWhenUsed/>
    <w:rsid w:val="00855709"/>
    <w:pPr>
      <w:tabs>
        <w:tab w:val="center" w:pos="4703"/>
        <w:tab w:val="right" w:pos="9406"/>
      </w:tabs>
    </w:pPr>
  </w:style>
  <w:style w:type="character" w:customStyle="1" w:styleId="FooterChar">
    <w:name w:val="Footer Char"/>
    <w:basedOn w:val="DefaultParagraphFont"/>
    <w:link w:val="Footer"/>
    <w:uiPriority w:val="99"/>
    <w:semiHidden/>
    <w:rsid w:val="00855709"/>
  </w:style>
  <w:style w:type="character" w:styleId="PageNumber">
    <w:name w:val="page number"/>
    <w:basedOn w:val="DefaultParagraphFont"/>
    <w:uiPriority w:val="99"/>
    <w:semiHidden/>
    <w:unhideWhenUsed/>
    <w:rsid w:val="00855709"/>
  </w:style>
  <w:style w:type="paragraph" w:styleId="NormalWeb">
    <w:name w:val="Normal (Web)"/>
    <w:basedOn w:val="Normal"/>
    <w:uiPriority w:val="99"/>
    <w:rsid w:val="00B237AB"/>
    <w:pPr>
      <w:spacing w:beforeLines="1" w:afterLines="1"/>
    </w:pPr>
    <w:rPr>
      <w:rFonts w:ascii="Times" w:hAnsi="Times" w:cs="Times New Roman"/>
      <w:sz w:val="20"/>
      <w:szCs w:val="20"/>
      <w:lang w:eastAsia="fr-FR"/>
    </w:rPr>
  </w:style>
  <w:style w:type="character" w:customStyle="1" w:styleId="apple-converted-space">
    <w:name w:val="apple-converted-space"/>
    <w:basedOn w:val="DefaultParagraphFont"/>
    <w:rsid w:val="00B237AB"/>
  </w:style>
  <w:style w:type="paragraph" w:styleId="FootnoteText">
    <w:name w:val="footnote text"/>
    <w:basedOn w:val="Normal"/>
    <w:link w:val="FootnoteTextChar"/>
    <w:rsid w:val="00361519"/>
    <w:rPr>
      <w:rFonts w:ascii="Times New Roman" w:eastAsia="Times New Roman" w:hAnsi="Times New Roman" w:cs="Times New Roman"/>
      <w:sz w:val="20"/>
      <w:szCs w:val="20"/>
      <w:lang w:val="fr-CA" w:eastAsia="fr-CA"/>
    </w:rPr>
  </w:style>
  <w:style w:type="character" w:customStyle="1" w:styleId="FootnoteTextChar">
    <w:name w:val="Footnote Text Char"/>
    <w:basedOn w:val="DefaultParagraphFont"/>
    <w:link w:val="FootnoteText"/>
    <w:rsid w:val="00361519"/>
    <w:rPr>
      <w:rFonts w:ascii="Times New Roman" w:eastAsia="Times New Roman" w:hAnsi="Times New Roman" w:cs="Times New Roman"/>
      <w:sz w:val="20"/>
      <w:szCs w:val="20"/>
      <w:lang w:val="fr-CA" w:eastAsia="fr-CA"/>
    </w:rPr>
  </w:style>
  <w:style w:type="character" w:styleId="FootnoteReference">
    <w:name w:val="footnote reference"/>
    <w:basedOn w:val="DefaultParagraphFont"/>
    <w:rsid w:val="00361519"/>
    <w:rPr>
      <w:vertAlign w:val="superscript"/>
    </w:rPr>
  </w:style>
  <w:style w:type="character" w:styleId="Hyperlink">
    <w:name w:val="Hyperlink"/>
    <w:basedOn w:val="DefaultParagraphFont"/>
    <w:rsid w:val="00545F76"/>
    <w:rPr>
      <w:color w:val="0000FF" w:themeColor="hyperlink"/>
      <w:u w:val="single"/>
    </w:rPr>
  </w:style>
  <w:style w:type="character" w:styleId="FollowedHyperlink">
    <w:name w:val="FollowedHyperlink"/>
    <w:basedOn w:val="DefaultParagraphFont"/>
    <w:rsid w:val="00BA32D9"/>
    <w:rPr>
      <w:color w:val="800080" w:themeColor="followedHyperlink"/>
      <w:u w:val="single"/>
    </w:rPr>
  </w:style>
  <w:style w:type="character" w:customStyle="1" w:styleId="Heading2Char">
    <w:name w:val="Heading 2 Char"/>
    <w:basedOn w:val="DefaultParagraphFont"/>
    <w:link w:val="Heading2"/>
    <w:uiPriority w:val="9"/>
    <w:rsid w:val="00A550ED"/>
    <w:rPr>
      <w:rFonts w:ascii="Times" w:hAnsi="Times"/>
      <w:b/>
      <w:sz w:val="36"/>
      <w:szCs w:val="20"/>
      <w:lang w:val="en-GB" w:eastAsia="fr-FR"/>
    </w:rPr>
  </w:style>
  <w:style w:type="character" w:styleId="CommentReference">
    <w:name w:val="annotation reference"/>
    <w:basedOn w:val="DefaultParagraphFont"/>
    <w:rsid w:val="00714379"/>
    <w:rPr>
      <w:sz w:val="16"/>
      <w:szCs w:val="16"/>
    </w:rPr>
  </w:style>
  <w:style w:type="paragraph" w:styleId="CommentText">
    <w:name w:val="annotation text"/>
    <w:basedOn w:val="Normal"/>
    <w:link w:val="CommentTextChar"/>
    <w:rsid w:val="00714379"/>
    <w:rPr>
      <w:sz w:val="20"/>
      <w:szCs w:val="20"/>
    </w:rPr>
  </w:style>
  <w:style w:type="character" w:customStyle="1" w:styleId="CommentTextChar">
    <w:name w:val="Comment Text Char"/>
    <w:basedOn w:val="DefaultParagraphFont"/>
    <w:link w:val="CommentText"/>
    <w:rsid w:val="00714379"/>
    <w:rPr>
      <w:sz w:val="20"/>
      <w:szCs w:val="20"/>
    </w:rPr>
  </w:style>
  <w:style w:type="paragraph" w:styleId="CommentSubject">
    <w:name w:val="annotation subject"/>
    <w:basedOn w:val="CommentText"/>
    <w:next w:val="CommentText"/>
    <w:link w:val="CommentSubjectChar"/>
    <w:rsid w:val="00714379"/>
    <w:rPr>
      <w:b/>
      <w:bCs/>
    </w:rPr>
  </w:style>
  <w:style w:type="character" w:customStyle="1" w:styleId="CommentSubjectChar">
    <w:name w:val="Comment Subject Char"/>
    <w:basedOn w:val="CommentTextChar"/>
    <w:link w:val="CommentSubject"/>
    <w:rsid w:val="00714379"/>
    <w:rPr>
      <w:b/>
      <w:bCs/>
      <w:sz w:val="20"/>
      <w:szCs w:val="20"/>
    </w:rPr>
  </w:style>
  <w:style w:type="table" w:styleId="TableGrid">
    <w:name w:val="Table Grid"/>
    <w:basedOn w:val="TableNormal"/>
    <w:rsid w:val="00920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061F8"/>
    <w:pPr>
      <w:ind w:left="720"/>
      <w:contextualSpacing/>
    </w:pPr>
  </w:style>
  <w:style w:type="character" w:customStyle="1" w:styleId="Heading3Char">
    <w:name w:val="Heading 3 Char"/>
    <w:basedOn w:val="DefaultParagraphFont"/>
    <w:link w:val="Heading3"/>
    <w:rsid w:val="00BA595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3200482">
      <w:bodyDiv w:val="1"/>
      <w:marLeft w:val="0"/>
      <w:marRight w:val="0"/>
      <w:marTop w:val="0"/>
      <w:marBottom w:val="0"/>
      <w:divBdr>
        <w:top w:val="none" w:sz="0" w:space="0" w:color="auto"/>
        <w:left w:val="none" w:sz="0" w:space="0" w:color="auto"/>
        <w:bottom w:val="none" w:sz="0" w:space="0" w:color="auto"/>
        <w:right w:val="none" w:sz="0" w:space="0" w:color="auto"/>
      </w:divBdr>
    </w:div>
    <w:div w:id="733314497">
      <w:bodyDiv w:val="1"/>
      <w:marLeft w:val="0"/>
      <w:marRight w:val="0"/>
      <w:marTop w:val="0"/>
      <w:marBottom w:val="0"/>
      <w:divBdr>
        <w:top w:val="none" w:sz="0" w:space="0" w:color="auto"/>
        <w:left w:val="none" w:sz="0" w:space="0" w:color="auto"/>
        <w:bottom w:val="none" w:sz="0" w:space="0" w:color="auto"/>
        <w:right w:val="none" w:sz="0" w:space="0" w:color="auto"/>
      </w:divBdr>
    </w:div>
    <w:div w:id="815073769">
      <w:bodyDiv w:val="1"/>
      <w:marLeft w:val="0"/>
      <w:marRight w:val="0"/>
      <w:marTop w:val="0"/>
      <w:marBottom w:val="0"/>
      <w:divBdr>
        <w:top w:val="none" w:sz="0" w:space="0" w:color="auto"/>
        <w:left w:val="none" w:sz="0" w:space="0" w:color="auto"/>
        <w:bottom w:val="none" w:sz="0" w:space="0" w:color="auto"/>
        <w:right w:val="none" w:sz="0" w:space="0" w:color="auto"/>
      </w:divBdr>
      <w:divsChild>
        <w:div w:id="1200898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599399">
      <w:bodyDiv w:val="1"/>
      <w:marLeft w:val="0"/>
      <w:marRight w:val="0"/>
      <w:marTop w:val="0"/>
      <w:marBottom w:val="0"/>
      <w:divBdr>
        <w:top w:val="none" w:sz="0" w:space="0" w:color="auto"/>
        <w:left w:val="none" w:sz="0" w:space="0" w:color="auto"/>
        <w:bottom w:val="none" w:sz="0" w:space="0" w:color="auto"/>
        <w:right w:val="none" w:sz="0" w:space="0" w:color="auto"/>
      </w:divBdr>
    </w:div>
    <w:div w:id="1164710726">
      <w:bodyDiv w:val="1"/>
      <w:marLeft w:val="0"/>
      <w:marRight w:val="0"/>
      <w:marTop w:val="0"/>
      <w:marBottom w:val="0"/>
      <w:divBdr>
        <w:top w:val="none" w:sz="0" w:space="0" w:color="auto"/>
        <w:left w:val="none" w:sz="0" w:space="0" w:color="auto"/>
        <w:bottom w:val="none" w:sz="0" w:space="0" w:color="auto"/>
        <w:right w:val="none" w:sz="0" w:space="0" w:color="auto"/>
      </w:divBdr>
    </w:div>
    <w:div w:id="1317803690">
      <w:bodyDiv w:val="1"/>
      <w:marLeft w:val="0"/>
      <w:marRight w:val="0"/>
      <w:marTop w:val="0"/>
      <w:marBottom w:val="0"/>
      <w:divBdr>
        <w:top w:val="none" w:sz="0" w:space="0" w:color="auto"/>
        <w:left w:val="none" w:sz="0" w:space="0" w:color="auto"/>
        <w:bottom w:val="none" w:sz="0" w:space="0" w:color="auto"/>
        <w:right w:val="none" w:sz="0" w:space="0" w:color="auto"/>
      </w:divBdr>
    </w:div>
    <w:div w:id="1700929568">
      <w:bodyDiv w:val="1"/>
      <w:marLeft w:val="0"/>
      <w:marRight w:val="0"/>
      <w:marTop w:val="0"/>
      <w:marBottom w:val="0"/>
      <w:divBdr>
        <w:top w:val="none" w:sz="0" w:space="0" w:color="auto"/>
        <w:left w:val="none" w:sz="0" w:space="0" w:color="auto"/>
        <w:bottom w:val="none" w:sz="0" w:space="0" w:color="auto"/>
        <w:right w:val="none" w:sz="0" w:space="0" w:color="auto"/>
      </w:divBdr>
      <w:divsChild>
        <w:div w:id="1390617685">
          <w:marLeft w:val="547"/>
          <w:marRight w:val="0"/>
          <w:marTop w:val="38"/>
          <w:marBottom w:val="77"/>
          <w:divBdr>
            <w:top w:val="none" w:sz="0" w:space="0" w:color="auto"/>
            <w:left w:val="none" w:sz="0" w:space="0" w:color="auto"/>
            <w:bottom w:val="none" w:sz="0" w:space="0" w:color="auto"/>
            <w:right w:val="none" w:sz="0" w:space="0" w:color="auto"/>
          </w:divBdr>
        </w:div>
        <w:div w:id="1689985062">
          <w:marLeft w:val="547"/>
          <w:marRight w:val="0"/>
          <w:marTop w:val="38"/>
          <w:marBottom w:val="77"/>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can.gc.ca/mineraux-metaux/politique/lois-reglements/33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r.wikipedia.org/wiki/Langue_crie" TargetMode="External"/><Relationship Id="rId3" Type="http://schemas.openxmlformats.org/officeDocument/2006/relationships/hyperlink" Target="http://fr.wikipedia.org/wiki/Am%C3%A9rique_du_Nord" TargetMode="External"/><Relationship Id="rId7" Type="http://schemas.openxmlformats.org/officeDocument/2006/relationships/hyperlink" Target="http://fr.wikipedia.org/wiki/%C3%89tats-Unis" TargetMode="External"/><Relationship Id="rId2" Type="http://schemas.openxmlformats.org/officeDocument/2006/relationships/hyperlink" Target="http://fr.wikipedia.org/wiki/Autochtone" TargetMode="External"/><Relationship Id="rId1" Type="http://schemas.openxmlformats.org/officeDocument/2006/relationships/hyperlink" Target="http://www.creqc.uqam.ca" TargetMode="External"/><Relationship Id="rId6" Type="http://schemas.openxmlformats.org/officeDocument/2006/relationships/hyperlink" Target="http://fr.wikipedia.org/wiki/Canada" TargetMode="External"/><Relationship Id="rId11" Type="http://schemas.openxmlformats.org/officeDocument/2006/relationships/hyperlink" Target="http://www.aadnc-gc.ca/aiarch/mr/nr/j-a2009/nr000000207-fra.asp" TargetMode="External"/><Relationship Id="rId5" Type="http://schemas.openxmlformats.org/officeDocument/2006/relationships/hyperlink" Target="http://fr.wikipedia.org/wiki/Oc%C3%A9an_Atlantique" TargetMode="External"/><Relationship Id="rId10" Type="http://schemas.openxmlformats.org/officeDocument/2006/relationships/hyperlink" Target="http://www.aadnc-aandc.gc.ca/aiarch/mr/nr/j-a2007/2-2855-bk-fra.asp" TargetMode="External"/><Relationship Id="rId4" Type="http://schemas.openxmlformats.org/officeDocument/2006/relationships/hyperlink" Target="http://fr.wikipedia.org/wiki/Montagnes_Rocheuses" TargetMode="External"/><Relationship Id="rId9" Type="http://schemas.openxmlformats.org/officeDocument/2006/relationships/hyperlink" Target="http://www.ifdc.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A202A-97FE-461C-952F-808E809C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7023</Words>
  <Characters>40034</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UQAM</Company>
  <LinksUpToDate>false</LinksUpToDate>
  <CharactersWithSpaces>46964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Alain-G. Gagnon</dc:creator>
  <cp:lastModifiedBy>finaum</cp:lastModifiedBy>
  <cp:revision>4</cp:revision>
  <cp:lastPrinted>2012-05-08T12:13:00Z</cp:lastPrinted>
  <dcterms:created xsi:type="dcterms:W3CDTF">2012-05-20T15:27:00Z</dcterms:created>
  <dcterms:modified xsi:type="dcterms:W3CDTF">2012-11-21T16:31:00Z</dcterms:modified>
</cp:coreProperties>
</file>