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F1" w:rsidRPr="00251E90" w:rsidRDefault="00334CF1" w:rsidP="00251E90">
      <w:pPr>
        <w:jc w:val="both"/>
        <w:rPr>
          <w:rFonts w:ascii="Arial" w:hAnsi="Arial"/>
          <w:sz w:val="20"/>
          <w:szCs w:val="20"/>
          <w:lang w:val="fr-FR"/>
        </w:rPr>
      </w:pPr>
    </w:p>
    <w:p w:rsidR="00251E90" w:rsidRPr="00251E90" w:rsidRDefault="00251E90" w:rsidP="00251E90">
      <w:pPr>
        <w:autoSpaceDE w:val="0"/>
        <w:autoSpaceDN w:val="0"/>
        <w:adjustRightInd w:val="0"/>
        <w:spacing w:after="0" w:line="360" w:lineRule="auto"/>
        <w:jc w:val="center"/>
        <w:rPr>
          <w:rFonts w:ascii="Arial" w:hAnsi="Arial"/>
          <w:b/>
          <w:sz w:val="28"/>
          <w:szCs w:val="28"/>
          <w:lang w:val="fr-FR"/>
        </w:rPr>
      </w:pPr>
      <w:r w:rsidRPr="00251E90">
        <w:rPr>
          <w:rFonts w:ascii="Arial" w:hAnsi="Arial"/>
          <w:b/>
          <w:sz w:val="28"/>
          <w:szCs w:val="28"/>
          <w:lang w:val="fr-FR"/>
        </w:rPr>
        <w:t>Solidarité et péréquation : l’Initiative marocaine pour un statut d’autonomie de la région du Sahara au regard de la politique de péréquation dans  la Fédération canadienne</w:t>
      </w:r>
    </w:p>
    <w:p w:rsidR="00251E90" w:rsidRPr="00251E90" w:rsidRDefault="00251E90" w:rsidP="00251E90">
      <w:pPr>
        <w:autoSpaceDE w:val="0"/>
        <w:autoSpaceDN w:val="0"/>
        <w:adjustRightInd w:val="0"/>
        <w:spacing w:after="0" w:line="360" w:lineRule="auto"/>
        <w:jc w:val="center"/>
        <w:rPr>
          <w:rFonts w:ascii="Arial" w:hAnsi="Arial"/>
          <w:b/>
          <w:sz w:val="20"/>
          <w:szCs w:val="20"/>
          <w:lang w:val="fr-FR"/>
        </w:rPr>
      </w:pPr>
    </w:p>
    <w:p w:rsidR="00251E90" w:rsidRPr="00251E90" w:rsidRDefault="00251E90" w:rsidP="00251E90">
      <w:pPr>
        <w:autoSpaceDE w:val="0"/>
        <w:autoSpaceDN w:val="0"/>
        <w:adjustRightInd w:val="0"/>
        <w:spacing w:after="0" w:line="360" w:lineRule="auto"/>
        <w:jc w:val="center"/>
        <w:rPr>
          <w:rFonts w:ascii="Arial" w:hAnsi="Arial"/>
          <w:b/>
          <w:sz w:val="20"/>
          <w:szCs w:val="20"/>
          <w:lang w:val="fr-FR"/>
        </w:rPr>
      </w:pPr>
      <w:r w:rsidRPr="00251E90">
        <w:rPr>
          <w:rFonts w:ascii="Arial" w:hAnsi="Arial"/>
          <w:b/>
          <w:sz w:val="20"/>
          <w:szCs w:val="20"/>
          <w:lang w:val="fr-FR"/>
        </w:rPr>
        <w:t>Professeur Jean-Louis Roy</w:t>
      </w:r>
      <w:r w:rsidRPr="00251E90">
        <w:rPr>
          <w:rStyle w:val="FootnoteReference"/>
          <w:rFonts w:ascii="Arial" w:hAnsi="Arial"/>
          <w:b/>
          <w:sz w:val="20"/>
          <w:szCs w:val="20"/>
          <w:lang w:val="fr-FR"/>
        </w:rPr>
        <w:footnoteReference w:id="1"/>
      </w:r>
    </w:p>
    <w:p w:rsidR="00251E90" w:rsidRPr="00251E90" w:rsidRDefault="00251E90" w:rsidP="00251E90">
      <w:pPr>
        <w:jc w:val="both"/>
        <w:rPr>
          <w:rFonts w:ascii="Arial" w:hAnsi="Arial"/>
          <w:sz w:val="20"/>
          <w:szCs w:val="20"/>
          <w:lang w:val="fr-FR"/>
        </w:rPr>
      </w:pPr>
    </w:p>
    <w:p w:rsidR="00334CF1" w:rsidRPr="00251E90" w:rsidRDefault="00334CF1" w:rsidP="003731FB">
      <w:pPr>
        <w:ind w:firstLine="708"/>
        <w:jc w:val="both"/>
        <w:rPr>
          <w:rFonts w:ascii="Arial" w:hAnsi="Arial"/>
          <w:sz w:val="20"/>
          <w:szCs w:val="20"/>
          <w:lang w:val="fr-FR"/>
        </w:rPr>
      </w:pPr>
      <w:r w:rsidRPr="00251E90">
        <w:rPr>
          <w:rFonts w:ascii="Arial" w:hAnsi="Arial"/>
          <w:sz w:val="20"/>
          <w:szCs w:val="20"/>
          <w:lang w:val="fr-FR"/>
        </w:rPr>
        <w:t>Je suis heureux d’être associé à nouveau à l’</w:t>
      </w:r>
      <w:r w:rsidR="00251E90" w:rsidRPr="00251E90">
        <w:rPr>
          <w:rFonts w:ascii="Arial" w:hAnsi="Arial"/>
          <w:sz w:val="20"/>
          <w:szCs w:val="20"/>
          <w:lang w:val="fr-FR"/>
        </w:rPr>
        <w:t>I</w:t>
      </w:r>
      <w:r w:rsidRPr="00251E90">
        <w:rPr>
          <w:rFonts w:ascii="Arial" w:hAnsi="Arial"/>
          <w:sz w:val="20"/>
          <w:szCs w:val="20"/>
          <w:lang w:val="fr-FR"/>
        </w:rPr>
        <w:t>nitiative marocaine pour la négociation d’un statut d’autonomie de la Région du Sahara</w:t>
      </w:r>
      <w:r w:rsidR="00251E90" w:rsidRPr="00251E90">
        <w:rPr>
          <w:rFonts w:ascii="Arial" w:hAnsi="Arial"/>
          <w:sz w:val="20"/>
          <w:szCs w:val="20"/>
          <w:lang w:val="fr-FR"/>
        </w:rPr>
        <w:t>,</w:t>
      </w:r>
      <w:r w:rsidRPr="00251E90">
        <w:rPr>
          <w:rFonts w:ascii="Arial" w:hAnsi="Arial"/>
          <w:sz w:val="20"/>
          <w:szCs w:val="20"/>
          <w:lang w:val="fr-FR"/>
        </w:rPr>
        <w:t xml:space="preserve"> d’autant que le thème de notre rencontre est au cœur de l’expérience canadienne depuis près d’un siècle et demi. En effet, depuis ses origines, le Canada s’est doté de mécanismes de partage des ressources financières entre l’</w:t>
      </w:r>
      <w:r w:rsidR="00251E90" w:rsidRPr="00251E90">
        <w:rPr>
          <w:rFonts w:ascii="Arial" w:hAnsi="Arial"/>
          <w:sz w:val="20"/>
          <w:szCs w:val="20"/>
          <w:lang w:val="fr-FR"/>
        </w:rPr>
        <w:t>État</w:t>
      </w:r>
      <w:r w:rsidRPr="00251E90">
        <w:rPr>
          <w:rFonts w:ascii="Arial" w:hAnsi="Arial"/>
          <w:sz w:val="20"/>
          <w:szCs w:val="20"/>
          <w:lang w:val="fr-FR"/>
        </w:rPr>
        <w:t xml:space="preserve"> fédéral et les </w:t>
      </w:r>
      <w:r w:rsidR="00251E90" w:rsidRPr="00251E90">
        <w:rPr>
          <w:rFonts w:ascii="Arial" w:hAnsi="Arial"/>
          <w:sz w:val="20"/>
          <w:szCs w:val="20"/>
          <w:lang w:val="fr-FR"/>
        </w:rPr>
        <w:t>État</w:t>
      </w:r>
      <w:r w:rsidRPr="00251E90">
        <w:rPr>
          <w:rFonts w:ascii="Arial" w:hAnsi="Arial"/>
          <w:sz w:val="20"/>
          <w:szCs w:val="20"/>
          <w:lang w:val="fr-FR"/>
        </w:rPr>
        <w:t xml:space="preserve">s fédérés. Ces mécanismes n’ont cessé d’évoluer depuis 1867 en conséquence des mutations du pays et du monde.  Aujourd’hui, ils sont au cœur des politiques publiques de la </w:t>
      </w:r>
      <w:r w:rsidR="00251E90" w:rsidRPr="00251E90">
        <w:rPr>
          <w:rFonts w:ascii="Arial" w:hAnsi="Arial"/>
          <w:sz w:val="20"/>
          <w:szCs w:val="20"/>
          <w:lang w:val="fr-FR"/>
        </w:rPr>
        <w:t>Fédération</w:t>
      </w:r>
      <w:r w:rsidRPr="00251E90">
        <w:rPr>
          <w:rFonts w:ascii="Arial" w:hAnsi="Arial"/>
          <w:sz w:val="20"/>
          <w:szCs w:val="20"/>
          <w:lang w:val="fr-FR"/>
        </w:rPr>
        <w:t xml:space="preserve"> et des priorités affirmées des </w:t>
      </w:r>
      <w:r w:rsidR="00251E90" w:rsidRPr="00251E90">
        <w:rPr>
          <w:rFonts w:ascii="Arial" w:hAnsi="Arial"/>
          <w:sz w:val="20"/>
          <w:szCs w:val="20"/>
          <w:lang w:val="fr-FR"/>
        </w:rPr>
        <w:t>C</w:t>
      </w:r>
      <w:r w:rsidRPr="00251E90">
        <w:rPr>
          <w:rFonts w:ascii="Arial" w:hAnsi="Arial"/>
          <w:sz w:val="20"/>
          <w:szCs w:val="20"/>
          <w:lang w:val="fr-FR"/>
        </w:rPr>
        <w:t>anadiens.</w:t>
      </w:r>
    </w:p>
    <w:p w:rsidR="00334CF1" w:rsidRPr="00251E90" w:rsidRDefault="00334CF1" w:rsidP="00251E90">
      <w:pPr>
        <w:jc w:val="both"/>
        <w:rPr>
          <w:rFonts w:ascii="Arial" w:hAnsi="Arial"/>
          <w:sz w:val="20"/>
          <w:szCs w:val="20"/>
          <w:lang w:val="fr-FR"/>
        </w:rPr>
      </w:pPr>
      <w:r w:rsidRPr="00251E90">
        <w:rPr>
          <w:rFonts w:ascii="Arial" w:hAnsi="Arial"/>
          <w:b/>
          <w:sz w:val="20"/>
          <w:szCs w:val="20"/>
          <w:lang w:val="fr-FR"/>
        </w:rPr>
        <w:t>Les mécanismes canadiens</w:t>
      </w:r>
    </w:p>
    <w:p w:rsidR="008F1B12" w:rsidRPr="00251E90" w:rsidRDefault="00334CF1" w:rsidP="003731FB">
      <w:pPr>
        <w:ind w:firstLine="708"/>
        <w:jc w:val="both"/>
        <w:rPr>
          <w:rFonts w:ascii="Arial" w:hAnsi="Arial"/>
          <w:sz w:val="20"/>
          <w:szCs w:val="20"/>
          <w:lang w:val="fr-FR"/>
        </w:rPr>
      </w:pPr>
      <w:r w:rsidRPr="00251E90">
        <w:rPr>
          <w:rFonts w:ascii="Arial" w:hAnsi="Arial"/>
          <w:sz w:val="20"/>
          <w:szCs w:val="20"/>
          <w:lang w:val="fr-FR"/>
        </w:rPr>
        <w:t>Quels sont ces mécanismes et</w:t>
      </w:r>
      <w:r w:rsidR="008F1B12" w:rsidRPr="00251E90">
        <w:rPr>
          <w:rFonts w:ascii="Arial" w:hAnsi="Arial"/>
          <w:sz w:val="20"/>
          <w:szCs w:val="20"/>
          <w:lang w:val="fr-FR"/>
        </w:rPr>
        <w:t xml:space="preserve"> quelles sont les correspondances entre les valeurs et les politiques qu’ils mettent en œuvre et celles qui sous-tendent l’I</w:t>
      </w:r>
      <w:r w:rsidRPr="00251E90">
        <w:rPr>
          <w:rFonts w:ascii="Arial" w:hAnsi="Arial"/>
          <w:sz w:val="20"/>
          <w:szCs w:val="20"/>
          <w:lang w:val="fr-FR"/>
        </w:rPr>
        <w:t>nitiative marocaine?</w:t>
      </w:r>
    </w:p>
    <w:p w:rsidR="00334CF1" w:rsidRPr="00251E90" w:rsidRDefault="00334CF1" w:rsidP="00251E90">
      <w:pPr>
        <w:jc w:val="both"/>
        <w:rPr>
          <w:rFonts w:ascii="Arial" w:hAnsi="Arial"/>
          <w:sz w:val="20"/>
          <w:szCs w:val="20"/>
          <w:lang w:val="fr-FR"/>
        </w:rPr>
      </w:pPr>
      <w:r w:rsidRPr="00251E90">
        <w:rPr>
          <w:rFonts w:ascii="Arial" w:hAnsi="Arial"/>
          <w:sz w:val="20"/>
          <w:szCs w:val="20"/>
          <w:lang w:val="fr-FR"/>
        </w:rPr>
        <w:t xml:space="preserve">1.- </w:t>
      </w:r>
      <w:r w:rsidRPr="00251E90">
        <w:rPr>
          <w:rFonts w:ascii="Arial" w:hAnsi="Arial"/>
          <w:b/>
          <w:i/>
          <w:sz w:val="20"/>
          <w:szCs w:val="20"/>
          <w:lang w:val="fr-FR"/>
        </w:rPr>
        <w:t>Les transferts spécifiques.</w:t>
      </w:r>
    </w:p>
    <w:p w:rsidR="00334CF1" w:rsidRPr="00251E90" w:rsidRDefault="00334CF1" w:rsidP="003731FB">
      <w:pPr>
        <w:ind w:firstLine="708"/>
        <w:jc w:val="both"/>
        <w:rPr>
          <w:rFonts w:ascii="Arial" w:hAnsi="Arial"/>
          <w:sz w:val="20"/>
          <w:szCs w:val="20"/>
          <w:lang w:val="fr-FR"/>
        </w:rPr>
      </w:pPr>
      <w:r w:rsidRPr="00251E90">
        <w:rPr>
          <w:rFonts w:ascii="Arial" w:hAnsi="Arial"/>
          <w:sz w:val="20"/>
          <w:szCs w:val="20"/>
          <w:lang w:val="fr-FR"/>
        </w:rPr>
        <w:t xml:space="preserve">Le plus important des mécanismes canadiens concerne </w:t>
      </w:r>
      <w:r w:rsidR="00251E90" w:rsidRPr="00251E90">
        <w:rPr>
          <w:rFonts w:ascii="Arial" w:hAnsi="Arial"/>
          <w:b/>
          <w:sz w:val="20"/>
          <w:szCs w:val="20"/>
          <w:lang w:val="fr-FR"/>
        </w:rPr>
        <w:t>les transferts au titre</w:t>
      </w:r>
      <w:r w:rsidRPr="00251E90">
        <w:rPr>
          <w:rFonts w:ascii="Arial" w:hAnsi="Arial"/>
          <w:b/>
          <w:sz w:val="20"/>
          <w:szCs w:val="20"/>
          <w:lang w:val="fr-FR"/>
        </w:rPr>
        <w:t xml:space="preserve"> de la santé, de l’enseignement supérieur et des programmes sociaux</w:t>
      </w:r>
      <w:r w:rsidRPr="00251E90">
        <w:rPr>
          <w:rFonts w:ascii="Arial" w:hAnsi="Arial"/>
          <w:sz w:val="20"/>
          <w:szCs w:val="20"/>
          <w:lang w:val="fr-FR"/>
        </w:rPr>
        <w:t xml:space="preserve">, transferts spécifiques versés aux </w:t>
      </w:r>
      <w:r w:rsidR="00251E90" w:rsidRPr="00251E90">
        <w:rPr>
          <w:rFonts w:ascii="Arial" w:hAnsi="Arial"/>
          <w:sz w:val="20"/>
          <w:szCs w:val="20"/>
          <w:lang w:val="fr-FR"/>
        </w:rPr>
        <w:t>Province</w:t>
      </w:r>
      <w:r w:rsidRPr="00251E90">
        <w:rPr>
          <w:rFonts w:ascii="Arial" w:hAnsi="Arial"/>
          <w:sz w:val="20"/>
          <w:szCs w:val="20"/>
          <w:lang w:val="fr-FR"/>
        </w:rPr>
        <w:t xml:space="preserve">s et </w:t>
      </w:r>
      <w:r w:rsidR="00251E90" w:rsidRPr="00251E90">
        <w:rPr>
          <w:rFonts w:ascii="Arial" w:hAnsi="Arial"/>
          <w:sz w:val="20"/>
          <w:szCs w:val="20"/>
          <w:lang w:val="fr-FR"/>
        </w:rPr>
        <w:t>Territoire</w:t>
      </w:r>
      <w:r w:rsidRPr="00251E90">
        <w:rPr>
          <w:rFonts w:ascii="Arial" w:hAnsi="Arial"/>
          <w:sz w:val="20"/>
          <w:szCs w:val="20"/>
          <w:lang w:val="fr-FR"/>
        </w:rPr>
        <w:t>s par l’</w:t>
      </w:r>
      <w:r w:rsidR="00251E90" w:rsidRPr="00251E90">
        <w:rPr>
          <w:rFonts w:ascii="Arial" w:hAnsi="Arial"/>
          <w:sz w:val="20"/>
          <w:szCs w:val="20"/>
          <w:lang w:val="fr-FR"/>
        </w:rPr>
        <w:t xml:space="preserve">État </w:t>
      </w:r>
      <w:r w:rsidRPr="00251E90">
        <w:rPr>
          <w:rFonts w:ascii="Arial" w:hAnsi="Arial"/>
          <w:sz w:val="20"/>
          <w:szCs w:val="20"/>
          <w:lang w:val="fr-FR"/>
        </w:rPr>
        <w:t xml:space="preserve"> fédéral pour les aider à mettre en œuvre leurs programmes et services aux Canadiens. Outils de solidarité et de développement, ces transferts aux </w:t>
      </w:r>
      <w:r w:rsidR="00251E90" w:rsidRPr="00251E90">
        <w:rPr>
          <w:rFonts w:ascii="Arial" w:hAnsi="Arial"/>
          <w:sz w:val="20"/>
          <w:szCs w:val="20"/>
          <w:lang w:val="fr-FR"/>
        </w:rPr>
        <w:t>Province</w:t>
      </w:r>
      <w:r w:rsidRPr="00251E90">
        <w:rPr>
          <w:rFonts w:ascii="Arial" w:hAnsi="Arial"/>
          <w:sz w:val="20"/>
          <w:szCs w:val="20"/>
          <w:lang w:val="fr-FR"/>
        </w:rPr>
        <w:t xml:space="preserve">s et aux </w:t>
      </w:r>
      <w:r w:rsidR="00251E90" w:rsidRPr="00251E90">
        <w:rPr>
          <w:rFonts w:ascii="Arial" w:hAnsi="Arial"/>
          <w:sz w:val="20"/>
          <w:szCs w:val="20"/>
          <w:lang w:val="fr-FR"/>
        </w:rPr>
        <w:t>Territoire</w:t>
      </w:r>
      <w:r w:rsidRPr="00251E90">
        <w:rPr>
          <w:rFonts w:ascii="Arial" w:hAnsi="Arial"/>
          <w:sz w:val="20"/>
          <w:szCs w:val="20"/>
          <w:lang w:val="fr-FR"/>
        </w:rPr>
        <w:t xml:space="preserve">s atteindront un niveau record de 42 milliards de dollars </w:t>
      </w:r>
      <w:r w:rsidR="00251E90" w:rsidRPr="00251E90">
        <w:rPr>
          <w:rFonts w:ascii="Arial" w:hAnsi="Arial"/>
          <w:sz w:val="20"/>
          <w:szCs w:val="20"/>
          <w:lang w:val="fr-FR"/>
        </w:rPr>
        <w:t xml:space="preserve">canadiens </w:t>
      </w:r>
      <w:r w:rsidRPr="00251E90">
        <w:rPr>
          <w:rFonts w:ascii="Arial" w:hAnsi="Arial"/>
          <w:sz w:val="20"/>
          <w:szCs w:val="20"/>
          <w:lang w:val="fr-FR"/>
        </w:rPr>
        <w:t xml:space="preserve">en 2013-2014, soit près de 13% de l’ensemble des dépenses totales du gouvernement </w:t>
      </w:r>
      <w:r w:rsidR="00251E90" w:rsidRPr="00251E90">
        <w:rPr>
          <w:rFonts w:ascii="Arial" w:hAnsi="Arial"/>
          <w:sz w:val="20"/>
          <w:szCs w:val="20"/>
          <w:lang w:val="fr-FR"/>
        </w:rPr>
        <w:t>fédéral</w:t>
      </w:r>
      <w:r w:rsidRPr="00251E90">
        <w:rPr>
          <w:rFonts w:ascii="Arial" w:hAnsi="Arial"/>
          <w:sz w:val="20"/>
          <w:szCs w:val="20"/>
          <w:lang w:val="fr-FR"/>
        </w:rPr>
        <w:t xml:space="preserve">. Ce mécanisme de financement global est assujetti à l’atteinte d’objectifs arrêtés par des lois du </w:t>
      </w:r>
      <w:r w:rsidR="00251E90" w:rsidRPr="00251E90">
        <w:rPr>
          <w:rFonts w:ascii="Arial" w:hAnsi="Arial"/>
          <w:sz w:val="20"/>
          <w:szCs w:val="20"/>
          <w:lang w:val="fr-FR"/>
        </w:rPr>
        <w:t>P</w:t>
      </w:r>
      <w:r w:rsidRPr="00251E90">
        <w:rPr>
          <w:rFonts w:ascii="Arial" w:hAnsi="Arial"/>
          <w:sz w:val="20"/>
          <w:szCs w:val="20"/>
          <w:lang w:val="fr-FR"/>
        </w:rPr>
        <w:t>arlement fédéral et qui constituent des conditionnalités fortes</w:t>
      </w:r>
      <w:r w:rsidRPr="00251E90">
        <w:rPr>
          <w:rStyle w:val="FootnoteReference"/>
          <w:rFonts w:ascii="Arial" w:hAnsi="Arial"/>
          <w:sz w:val="20"/>
          <w:szCs w:val="20"/>
          <w:lang w:val="fr-FR"/>
        </w:rPr>
        <w:footnoteReference w:id="2"/>
      </w:r>
      <w:r w:rsidR="00251E90" w:rsidRPr="00251E90">
        <w:rPr>
          <w:rFonts w:ascii="Arial" w:hAnsi="Arial"/>
          <w:sz w:val="20"/>
          <w:szCs w:val="20"/>
          <w:lang w:val="fr-FR"/>
        </w:rPr>
        <w:t>.</w:t>
      </w:r>
      <w:r w:rsidRPr="00251E90">
        <w:rPr>
          <w:rFonts w:ascii="Arial" w:hAnsi="Arial"/>
          <w:sz w:val="20"/>
          <w:szCs w:val="20"/>
          <w:lang w:val="fr-FR"/>
        </w:rPr>
        <w:t xml:space="preserve"> En conséquence, les gouvernements des </w:t>
      </w:r>
      <w:r w:rsidR="00251E90" w:rsidRPr="00251E90">
        <w:rPr>
          <w:rFonts w:ascii="Arial" w:hAnsi="Arial"/>
          <w:sz w:val="20"/>
          <w:szCs w:val="20"/>
          <w:lang w:val="fr-FR"/>
        </w:rPr>
        <w:t>Province</w:t>
      </w:r>
      <w:r w:rsidRPr="00251E90">
        <w:rPr>
          <w:rFonts w:ascii="Arial" w:hAnsi="Arial"/>
          <w:sz w:val="20"/>
          <w:szCs w:val="20"/>
          <w:lang w:val="fr-FR"/>
        </w:rPr>
        <w:t xml:space="preserve">s et des </w:t>
      </w:r>
      <w:r w:rsidR="00251E90" w:rsidRPr="00251E90">
        <w:rPr>
          <w:rFonts w:ascii="Arial" w:hAnsi="Arial"/>
          <w:sz w:val="20"/>
          <w:szCs w:val="20"/>
          <w:lang w:val="fr-FR"/>
        </w:rPr>
        <w:t>Territoire</w:t>
      </w:r>
      <w:r w:rsidRPr="00251E90">
        <w:rPr>
          <w:rFonts w:ascii="Arial" w:hAnsi="Arial"/>
          <w:sz w:val="20"/>
          <w:szCs w:val="20"/>
          <w:lang w:val="fr-FR"/>
        </w:rPr>
        <w:t>s ne sont pas ma</w:t>
      </w:r>
      <w:r w:rsidR="00251E90" w:rsidRPr="00251E90">
        <w:rPr>
          <w:rFonts w:ascii="Arial" w:hAnsi="Arial"/>
          <w:sz w:val="20"/>
          <w:szCs w:val="20"/>
          <w:lang w:val="fr-FR"/>
        </w:rPr>
        <w:t>î</w:t>
      </w:r>
      <w:r w:rsidRPr="00251E90">
        <w:rPr>
          <w:rFonts w:ascii="Arial" w:hAnsi="Arial"/>
          <w:sz w:val="20"/>
          <w:szCs w:val="20"/>
          <w:lang w:val="fr-FR"/>
        </w:rPr>
        <w:t>tres de leur utilisation.</w:t>
      </w:r>
    </w:p>
    <w:p w:rsidR="00334CF1" w:rsidRPr="00251E90" w:rsidRDefault="00334CF1" w:rsidP="00251E90">
      <w:pPr>
        <w:jc w:val="both"/>
        <w:rPr>
          <w:rFonts w:ascii="Arial" w:hAnsi="Arial"/>
          <w:b/>
          <w:sz w:val="20"/>
          <w:szCs w:val="20"/>
          <w:lang w:val="fr-FR"/>
        </w:rPr>
      </w:pPr>
      <w:r w:rsidRPr="00251E90">
        <w:rPr>
          <w:rFonts w:ascii="Arial" w:hAnsi="Arial"/>
          <w:sz w:val="20"/>
          <w:szCs w:val="20"/>
          <w:lang w:val="fr-FR"/>
        </w:rPr>
        <w:t xml:space="preserve">11.- </w:t>
      </w:r>
      <w:r w:rsidRPr="00251E90">
        <w:rPr>
          <w:rFonts w:ascii="Arial" w:hAnsi="Arial"/>
          <w:b/>
          <w:i/>
          <w:sz w:val="20"/>
          <w:szCs w:val="20"/>
          <w:lang w:val="fr-FR"/>
        </w:rPr>
        <w:t>Les transferts de péréquation.</w:t>
      </w:r>
      <w:r w:rsidRPr="00251E90">
        <w:rPr>
          <w:rFonts w:ascii="Arial" w:hAnsi="Arial"/>
          <w:b/>
          <w:sz w:val="20"/>
          <w:szCs w:val="20"/>
          <w:lang w:val="fr-FR"/>
        </w:rPr>
        <w:t xml:space="preserve"> </w:t>
      </w:r>
    </w:p>
    <w:p w:rsidR="00334CF1" w:rsidRPr="00251E90" w:rsidRDefault="00334CF1" w:rsidP="003731FB">
      <w:pPr>
        <w:ind w:firstLine="708"/>
        <w:jc w:val="both"/>
        <w:rPr>
          <w:rFonts w:ascii="Arial" w:hAnsi="Arial"/>
          <w:sz w:val="20"/>
          <w:szCs w:val="20"/>
          <w:lang w:val="fr-FR"/>
        </w:rPr>
      </w:pPr>
      <w:r w:rsidRPr="00251E90">
        <w:rPr>
          <w:rFonts w:ascii="Arial" w:hAnsi="Arial"/>
          <w:sz w:val="20"/>
          <w:szCs w:val="20"/>
          <w:lang w:val="fr-FR"/>
        </w:rPr>
        <w:t xml:space="preserve">Ces transferts atteindront 16,1 milliards pour l’année en cours, soit 5% de l’ensemble des dépenses totales du gouvernement fédéral. L’utilisation des fonds perçus par les </w:t>
      </w:r>
      <w:r w:rsidR="00251E90" w:rsidRPr="00251E90">
        <w:rPr>
          <w:rFonts w:ascii="Arial" w:hAnsi="Arial"/>
          <w:sz w:val="20"/>
          <w:szCs w:val="20"/>
          <w:lang w:val="fr-FR"/>
        </w:rPr>
        <w:t>Province</w:t>
      </w:r>
      <w:r w:rsidRPr="00251E90">
        <w:rPr>
          <w:rFonts w:ascii="Arial" w:hAnsi="Arial"/>
          <w:sz w:val="20"/>
          <w:szCs w:val="20"/>
          <w:lang w:val="fr-FR"/>
        </w:rPr>
        <w:t xml:space="preserve">s et </w:t>
      </w:r>
      <w:r w:rsidR="00251E90" w:rsidRPr="00251E90">
        <w:rPr>
          <w:rFonts w:ascii="Arial" w:hAnsi="Arial"/>
          <w:sz w:val="20"/>
          <w:szCs w:val="20"/>
          <w:lang w:val="fr-FR"/>
        </w:rPr>
        <w:t>Territoire</w:t>
      </w:r>
      <w:r w:rsidRPr="00251E90">
        <w:rPr>
          <w:rFonts w:ascii="Arial" w:hAnsi="Arial"/>
          <w:sz w:val="20"/>
          <w:szCs w:val="20"/>
          <w:lang w:val="fr-FR"/>
        </w:rPr>
        <w:t xml:space="preserve">s au titre de la péréquation n’est assortie d’aucune condition. Les gouvernements des </w:t>
      </w:r>
      <w:r w:rsidR="00251E90" w:rsidRPr="00251E90">
        <w:rPr>
          <w:rFonts w:ascii="Arial" w:hAnsi="Arial"/>
          <w:sz w:val="20"/>
          <w:szCs w:val="20"/>
          <w:lang w:val="fr-FR"/>
        </w:rPr>
        <w:t>Province</w:t>
      </w:r>
      <w:r w:rsidRPr="00251E90">
        <w:rPr>
          <w:rFonts w:ascii="Arial" w:hAnsi="Arial"/>
          <w:sz w:val="20"/>
          <w:szCs w:val="20"/>
          <w:lang w:val="fr-FR"/>
        </w:rPr>
        <w:t xml:space="preserve">s et des </w:t>
      </w:r>
      <w:r w:rsidR="00251E90" w:rsidRPr="00251E90">
        <w:rPr>
          <w:rFonts w:ascii="Arial" w:hAnsi="Arial"/>
          <w:sz w:val="20"/>
          <w:szCs w:val="20"/>
          <w:lang w:val="fr-FR"/>
        </w:rPr>
        <w:t>Territoire</w:t>
      </w:r>
      <w:r w:rsidRPr="00251E90">
        <w:rPr>
          <w:rFonts w:ascii="Arial" w:hAnsi="Arial"/>
          <w:sz w:val="20"/>
          <w:szCs w:val="20"/>
          <w:lang w:val="fr-FR"/>
        </w:rPr>
        <w:t>s sont ma</w:t>
      </w:r>
      <w:r w:rsidR="00251E90" w:rsidRPr="00251E90">
        <w:rPr>
          <w:rFonts w:ascii="Arial" w:hAnsi="Arial"/>
          <w:sz w:val="20"/>
          <w:szCs w:val="20"/>
          <w:lang w:val="fr-FR"/>
        </w:rPr>
        <w:t>î</w:t>
      </w:r>
      <w:r w:rsidRPr="00251E90">
        <w:rPr>
          <w:rFonts w:ascii="Arial" w:hAnsi="Arial"/>
          <w:sz w:val="20"/>
          <w:szCs w:val="20"/>
          <w:lang w:val="fr-FR"/>
        </w:rPr>
        <w:t>tres de leur utilisation.</w:t>
      </w:r>
    </w:p>
    <w:p w:rsidR="00334CF1" w:rsidRPr="00251E90" w:rsidRDefault="00334CF1" w:rsidP="00251E90">
      <w:pPr>
        <w:jc w:val="both"/>
        <w:rPr>
          <w:rFonts w:ascii="Arial" w:hAnsi="Arial"/>
          <w:b/>
          <w:i/>
          <w:sz w:val="20"/>
          <w:szCs w:val="20"/>
          <w:lang w:val="fr-FR"/>
        </w:rPr>
      </w:pPr>
      <w:r w:rsidRPr="00251E90">
        <w:rPr>
          <w:rFonts w:ascii="Arial" w:hAnsi="Arial"/>
          <w:sz w:val="20"/>
          <w:szCs w:val="20"/>
          <w:lang w:val="fr-FR"/>
        </w:rPr>
        <w:t xml:space="preserve">111.- </w:t>
      </w:r>
      <w:r w:rsidRPr="00251E90">
        <w:rPr>
          <w:rFonts w:ascii="Arial" w:hAnsi="Arial"/>
          <w:b/>
          <w:i/>
          <w:sz w:val="20"/>
          <w:szCs w:val="20"/>
          <w:lang w:val="fr-FR"/>
        </w:rPr>
        <w:t>Les transferts pour le développement régional.</w:t>
      </w:r>
    </w:p>
    <w:p w:rsidR="00334CF1" w:rsidRPr="00251E90" w:rsidRDefault="00334CF1" w:rsidP="003731FB">
      <w:pPr>
        <w:ind w:firstLine="708"/>
        <w:jc w:val="both"/>
        <w:rPr>
          <w:rFonts w:ascii="Arial" w:hAnsi="Arial"/>
          <w:sz w:val="20"/>
          <w:szCs w:val="20"/>
          <w:lang w:val="fr-FR"/>
        </w:rPr>
      </w:pPr>
      <w:r w:rsidRPr="00251E90">
        <w:rPr>
          <w:rFonts w:ascii="Arial" w:hAnsi="Arial"/>
          <w:sz w:val="20"/>
          <w:szCs w:val="20"/>
          <w:lang w:val="fr-FR"/>
        </w:rPr>
        <w:t xml:space="preserve">Enfin les transferts pour le développement régional appartiennent à une catégorie politique </w:t>
      </w:r>
      <w:r w:rsidR="008F1B12" w:rsidRPr="00251E90">
        <w:rPr>
          <w:rFonts w:ascii="Arial" w:hAnsi="Arial"/>
          <w:sz w:val="20"/>
          <w:szCs w:val="20"/>
          <w:lang w:val="fr-FR"/>
        </w:rPr>
        <w:t>ambig</w:t>
      </w:r>
      <w:r w:rsidR="00251E90" w:rsidRPr="00251E90">
        <w:rPr>
          <w:rFonts w:ascii="Arial" w:hAnsi="Arial"/>
          <w:sz w:val="20"/>
          <w:szCs w:val="20"/>
          <w:lang w:val="fr-FR"/>
        </w:rPr>
        <w:t>uë</w:t>
      </w:r>
      <w:r w:rsidRPr="00251E90">
        <w:rPr>
          <w:rFonts w:ascii="Arial" w:hAnsi="Arial"/>
          <w:sz w:val="20"/>
          <w:szCs w:val="20"/>
          <w:lang w:val="fr-FR"/>
        </w:rPr>
        <w:t xml:space="preserve"> o</w:t>
      </w:r>
      <w:r w:rsidR="00251E90">
        <w:rPr>
          <w:rFonts w:ascii="Arial" w:hAnsi="Arial"/>
          <w:sz w:val="20"/>
          <w:szCs w:val="20"/>
          <w:lang w:val="fr-FR"/>
        </w:rPr>
        <w:t>ù</w:t>
      </w:r>
      <w:r w:rsidRPr="00251E90">
        <w:rPr>
          <w:rFonts w:ascii="Arial" w:hAnsi="Arial"/>
          <w:sz w:val="20"/>
          <w:szCs w:val="20"/>
          <w:lang w:val="fr-FR"/>
        </w:rPr>
        <w:t xml:space="preserve"> s</w:t>
      </w:r>
      <w:r w:rsidR="008F1B12" w:rsidRPr="00251E90">
        <w:rPr>
          <w:rFonts w:ascii="Arial" w:hAnsi="Arial"/>
          <w:sz w:val="20"/>
          <w:szCs w:val="20"/>
          <w:lang w:val="fr-FR"/>
        </w:rPr>
        <w:t>e conjuguent</w:t>
      </w:r>
      <w:r w:rsidRPr="00251E90">
        <w:rPr>
          <w:rFonts w:ascii="Arial" w:hAnsi="Arial"/>
          <w:sz w:val="20"/>
          <w:szCs w:val="20"/>
          <w:lang w:val="fr-FR"/>
        </w:rPr>
        <w:t xml:space="preserve"> les effets réels des crises économiques affectant l’offre et la demande de ressources, de </w:t>
      </w:r>
      <w:r w:rsidR="008F1B12" w:rsidRPr="00251E90">
        <w:rPr>
          <w:rFonts w:ascii="Arial" w:hAnsi="Arial"/>
          <w:sz w:val="20"/>
          <w:szCs w:val="20"/>
          <w:lang w:val="fr-FR"/>
        </w:rPr>
        <w:t xml:space="preserve">biens ou de services dans une </w:t>
      </w:r>
      <w:r w:rsidR="00251E90" w:rsidRPr="00251E90">
        <w:rPr>
          <w:rFonts w:ascii="Arial" w:hAnsi="Arial"/>
          <w:sz w:val="20"/>
          <w:szCs w:val="20"/>
          <w:lang w:val="fr-FR"/>
        </w:rPr>
        <w:t>Province</w:t>
      </w:r>
      <w:r w:rsidRPr="00251E90">
        <w:rPr>
          <w:rFonts w:ascii="Arial" w:hAnsi="Arial"/>
          <w:sz w:val="20"/>
          <w:szCs w:val="20"/>
          <w:lang w:val="fr-FR"/>
        </w:rPr>
        <w:t xml:space="preserve"> et les gourmandises politiciennes. </w:t>
      </w:r>
    </w:p>
    <w:p w:rsidR="00334CF1" w:rsidRPr="00251E90" w:rsidRDefault="008F1B12" w:rsidP="003731FB">
      <w:pPr>
        <w:ind w:firstLine="708"/>
        <w:jc w:val="both"/>
        <w:rPr>
          <w:rFonts w:ascii="Arial" w:hAnsi="Arial"/>
          <w:sz w:val="20"/>
          <w:szCs w:val="20"/>
          <w:lang w:val="fr-FR"/>
        </w:rPr>
      </w:pPr>
      <w:r w:rsidRPr="00251E90">
        <w:rPr>
          <w:rFonts w:ascii="Arial" w:hAnsi="Arial"/>
          <w:sz w:val="20"/>
          <w:szCs w:val="20"/>
          <w:lang w:val="fr-FR"/>
        </w:rPr>
        <w:lastRenderedPageBreak/>
        <w:t>C</w:t>
      </w:r>
      <w:r w:rsidR="00334CF1" w:rsidRPr="00251E90">
        <w:rPr>
          <w:rFonts w:ascii="Arial" w:hAnsi="Arial"/>
          <w:sz w:val="20"/>
          <w:szCs w:val="20"/>
          <w:lang w:val="fr-FR"/>
        </w:rPr>
        <w:t xml:space="preserve">es transferts ont enregistré des résultats médiocres et ce modèle, très apprécié dans les années 1960 et 1970, n’est plus retenu qu’en situation de crise véritable comme </w:t>
      </w:r>
      <w:r w:rsidRPr="00251E90">
        <w:rPr>
          <w:rFonts w:ascii="Arial" w:hAnsi="Arial"/>
          <w:sz w:val="20"/>
          <w:szCs w:val="20"/>
          <w:lang w:val="fr-FR"/>
        </w:rPr>
        <w:t>celle qui</w:t>
      </w:r>
      <w:r w:rsidR="001A185F" w:rsidRPr="00251E90">
        <w:rPr>
          <w:rFonts w:ascii="Arial" w:hAnsi="Arial"/>
          <w:sz w:val="20"/>
          <w:szCs w:val="20"/>
          <w:lang w:val="fr-FR"/>
        </w:rPr>
        <w:t>, en 2008-2011,</w:t>
      </w:r>
      <w:r w:rsidRPr="00251E90">
        <w:rPr>
          <w:rFonts w:ascii="Arial" w:hAnsi="Arial"/>
          <w:sz w:val="20"/>
          <w:szCs w:val="20"/>
          <w:lang w:val="fr-FR"/>
        </w:rPr>
        <w:t xml:space="preserve"> a durement touché</w:t>
      </w:r>
      <w:r w:rsidR="00334CF1" w:rsidRPr="00251E90">
        <w:rPr>
          <w:rFonts w:ascii="Arial" w:hAnsi="Arial"/>
          <w:sz w:val="20"/>
          <w:szCs w:val="20"/>
          <w:lang w:val="fr-FR"/>
        </w:rPr>
        <w:t xml:space="preserve"> le Sud-Ouest de la </w:t>
      </w:r>
      <w:r w:rsidR="00251E90" w:rsidRPr="00251E90">
        <w:rPr>
          <w:rFonts w:ascii="Arial" w:hAnsi="Arial"/>
          <w:sz w:val="20"/>
          <w:szCs w:val="20"/>
          <w:lang w:val="fr-FR"/>
        </w:rPr>
        <w:t>Province</w:t>
      </w:r>
      <w:r w:rsidR="00334CF1" w:rsidRPr="00251E90">
        <w:rPr>
          <w:rFonts w:ascii="Arial" w:hAnsi="Arial"/>
          <w:sz w:val="20"/>
          <w:szCs w:val="20"/>
          <w:lang w:val="fr-FR"/>
        </w:rPr>
        <w:t xml:space="preserve"> de l’Ontario dévastée par l’</w:t>
      </w:r>
      <w:r w:rsidRPr="00251E90">
        <w:rPr>
          <w:rFonts w:ascii="Arial" w:hAnsi="Arial"/>
          <w:sz w:val="20"/>
          <w:szCs w:val="20"/>
          <w:lang w:val="fr-FR"/>
        </w:rPr>
        <w:t>affaissement</w:t>
      </w:r>
      <w:r w:rsidR="00334CF1" w:rsidRPr="00251E90">
        <w:rPr>
          <w:rFonts w:ascii="Arial" w:hAnsi="Arial"/>
          <w:sz w:val="20"/>
          <w:szCs w:val="20"/>
          <w:lang w:val="fr-FR"/>
        </w:rPr>
        <w:t xml:space="preserve"> du marché nord-américain de l’</w:t>
      </w:r>
      <w:r w:rsidR="001A185F" w:rsidRPr="00251E90">
        <w:rPr>
          <w:rFonts w:ascii="Arial" w:hAnsi="Arial"/>
          <w:sz w:val="20"/>
          <w:szCs w:val="20"/>
          <w:lang w:val="fr-FR"/>
        </w:rPr>
        <w:t>automobile</w:t>
      </w:r>
      <w:r w:rsidR="00334CF1" w:rsidRPr="00251E90">
        <w:rPr>
          <w:rFonts w:ascii="Arial" w:hAnsi="Arial"/>
          <w:sz w:val="20"/>
          <w:szCs w:val="20"/>
          <w:lang w:val="fr-FR"/>
        </w:rPr>
        <w:t>. Ces programmes de développement régional sont conçus comme une intervention d’urgence susceptible de concourir aux ajustements imposés par les circonstance</w:t>
      </w:r>
      <w:r w:rsidR="001A185F" w:rsidRPr="00251E90">
        <w:rPr>
          <w:rFonts w:ascii="Arial" w:hAnsi="Arial"/>
          <w:sz w:val="20"/>
          <w:szCs w:val="20"/>
          <w:lang w:val="fr-FR"/>
        </w:rPr>
        <w:t>s</w:t>
      </w:r>
      <w:r w:rsidR="00F664C3" w:rsidRPr="00251E90">
        <w:rPr>
          <w:rFonts w:ascii="Arial" w:hAnsi="Arial"/>
          <w:sz w:val="20"/>
          <w:szCs w:val="20"/>
          <w:lang w:val="fr-FR"/>
        </w:rPr>
        <w:t>. Ils</w:t>
      </w:r>
      <w:r w:rsidR="00334CF1" w:rsidRPr="00251E90">
        <w:rPr>
          <w:rFonts w:ascii="Arial" w:hAnsi="Arial"/>
          <w:sz w:val="20"/>
          <w:szCs w:val="20"/>
          <w:lang w:val="fr-FR"/>
        </w:rPr>
        <w:t xml:space="preserve"> constitue</w:t>
      </w:r>
      <w:r w:rsidR="00F664C3" w:rsidRPr="00251E90">
        <w:rPr>
          <w:rFonts w:ascii="Arial" w:hAnsi="Arial"/>
          <w:sz w:val="20"/>
          <w:szCs w:val="20"/>
          <w:lang w:val="fr-FR"/>
        </w:rPr>
        <w:t>nt</w:t>
      </w:r>
      <w:r w:rsidR="00334CF1" w:rsidRPr="00251E90">
        <w:rPr>
          <w:rFonts w:ascii="Arial" w:hAnsi="Arial"/>
          <w:sz w:val="20"/>
          <w:szCs w:val="20"/>
          <w:lang w:val="fr-FR"/>
        </w:rPr>
        <w:t xml:space="preserve"> des interventions </w:t>
      </w:r>
      <w:r w:rsidR="00F664C3" w:rsidRPr="00251E90">
        <w:rPr>
          <w:rFonts w:ascii="Arial" w:hAnsi="Arial"/>
          <w:sz w:val="20"/>
          <w:szCs w:val="20"/>
          <w:lang w:val="fr-FR"/>
        </w:rPr>
        <w:t>sur objectifs et sont limité</w:t>
      </w:r>
      <w:r w:rsidR="00334CF1" w:rsidRPr="00251E90">
        <w:rPr>
          <w:rFonts w:ascii="Arial" w:hAnsi="Arial"/>
          <w:sz w:val="20"/>
          <w:szCs w:val="20"/>
          <w:lang w:val="fr-FR"/>
        </w:rPr>
        <w:t xml:space="preserve">s dans le temps.   </w:t>
      </w:r>
    </w:p>
    <w:p w:rsidR="00334CF1" w:rsidRPr="00251E90" w:rsidRDefault="00334CF1" w:rsidP="003731FB">
      <w:pPr>
        <w:ind w:firstLine="708"/>
        <w:jc w:val="both"/>
        <w:rPr>
          <w:rFonts w:ascii="Arial" w:hAnsi="Arial"/>
          <w:b/>
          <w:sz w:val="20"/>
          <w:szCs w:val="20"/>
          <w:lang w:val="fr-FR"/>
        </w:rPr>
      </w:pPr>
      <w:r w:rsidRPr="00251E90">
        <w:rPr>
          <w:rFonts w:ascii="Arial" w:hAnsi="Arial"/>
          <w:sz w:val="20"/>
          <w:szCs w:val="20"/>
          <w:lang w:val="fr-FR"/>
        </w:rPr>
        <w:t>Telles sont les trois principales catégories de transferts de l’</w:t>
      </w:r>
      <w:r w:rsidR="00251E90" w:rsidRPr="00251E90">
        <w:rPr>
          <w:rFonts w:ascii="Arial" w:hAnsi="Arial"/>
          <w:sz w:val="20"/>
          <w:szCs w:val="20"/>
          <w:lang w:val="fr-FR"/>
        </w:rPr>
        <w:t xml:space="preserve">État </w:t>
      </w:r>
      <w:r w:rsidRPr="00251E90">
        <w:rPr>
          <w:rFonts w:ascii="Arial" w:hAnsi="Arial"/>
          <w:sz w:val="20"/>
          <w:szCs w:val="20"/>
          <w:lang w:val="fr-FR"/>
        </w:rPr>
        <w:t xml:space="preserve"> fédéral canadien aux </w:t>
      </w:r>
      <w:r w:rsidR="00251E90" w:rsidRPr="00251E90">
        <w:rPr>
          <w:rFonts w:ascii="Arial" w:hAnsi="Arial"/>
          <w:sz w:val="20"/>
          <w:szCs w:val="20"/>
          <w:lang w:val="fr-FR"/>
        </w:rPr>
        <w:t>État</w:t>
      </w:r>
      <w:r w:rsidRPr="00251E90">
        <w:rPr>
          <w:rFonts w:ascii="Arial" w:hAnsi="Arial"/>
          <w:sz w:val="20"/>
          <w:szCs w:val="20"/>
          <w:lang w:val="fr-FR"/>
        </w:rPr>
        <w:t xml:space="preserve">s et </w:t>
      </w:r>
      <w:r w:rsidR="00251E90" w:rsidRPr="00251E90">
        <w:rPr>
          <w:rFonts w:ascii="Arial" w:hAnsi="Arial"/>
          <w:sz w:val="20"/>
          <w:szCs w:val="20"/>
          <w:lang w:val="fr-FR"/>
        </w:rPr>
        <w:t>Territoire</w:t>
      </w:r>
      <w:r w:rsidRPr="00251E90">
        <w:rPr>
          <w:rFonts w:ascii="Arial" w:hAnsi="Arial"/>
          <w:sz w:val="20"/>
          <w:szCs w:val="20"/>
          <w:lang w:val="fr-FR"/>
        </w:rPr>
        <w:t xml:space="preserve">s fédérés. Même s’il n’est pas le plus important financièrement, </w:t>
      </w:r>
      <w:r w:rsidR="00251E90">
        <w:rPr>
          <w:rFonts w:ascii="Arial" w:hAnsi="Arial"/>
          <w:sz w:val="20"/>
          <w:szCs w:val="20"/>
          <w:lang w:val="fr-FR"/>
        </w:rPr>
        <w:t>l</w:t>
      </w:r>
      <w:r w:rsidRPr="00251E90">
        <w:rPr>
          <w:rFonts w:ascii="Arial" w:hAnsi="Arial"/>
          <w:sz w:val="20"/>
          <w:szCs w:val="20"/>
          <w:lang w:val="fr-FR"/>
        </w:rPr>
        <w:t xml:space="preserve">e </w:t>
      </w:r>
      <w:r w:rsidR="001A185F" w:rsidRPr="00251E90">
        <w:rPr>
          <w:rFonts w:ascii="Arial" w:hAnsi="Arial"/>
          <w:sz w:val="20"/>
          <w:szCs w:val="20"/>
          <w:lang w:val="fr-FR"/>
        </w:rPr>
        <w:t>mécanisme</w:t>
      </w:r>
      <w:r w:rsidRPr="00251E90">
        <w:rPr>
          <w:rFonts w:ascii="Arial" w:hAnsi="Arial"/>
          <w:sz w:val="20"/>
          <w:szCs w:val="20"/>
          <w:lang w:val="fr-FR"/>
        </w:rPr>
        <w:t xml:space="preserve"> de péréquation qui est l’objet de notre rencontre appara</w:t>
      </w:r>
      <w:r w:rsidR="00251E90">
        <w:rPr>
          <w:rFonts w:ascii="Arial" w:hAnsi="Arial"/>
          <w:sz w:val="20"/>
          <w:szCs w:val="20"/>
          <w:lang w:val="fr-FR"/>
        </w:rPr>
        <w:t>î</w:t>
      </w:r>
      <w:r w:rsidRPr="00251E90">
        <w:rPr>
          <w:rFonts w:ascii="Arial" w:hAnsi="Arial"/>
          <w:sz w:val="20"/>
          <w:szCs w:val="20"/>
          <w:lang w:val="fr-FR"/>
        </w:rPr>
        <w:t xml:space="preserve">t comme le plus significatif en raison de son </w:t>
      </w:r>
      <w:r w:rsidR="001A185F" w:rsidRPr="00251E90">
        <w:rPr>
          <w:rFonts w:ascii="Arial" w:hAnsi="Arial"/>
          <w:sz w:val="20"/>
          <w:szCs w:val="20"/>
          <w:lang w:val="fr-FR"/>
        </w:rPr>
        <w:t>enchâssement</w:t>
      </w:r>
      <w:r w:rsidRPr="00251E90">
        <w:rPr>
          <w:rFonts w:ascii="Arial" w:hAnsi="Arial"/>
          <w:sz w:val="20"/>
          <w:szCs w:val="20"/>
          <w:lang w:val="fr-FR"/>
        </w:rPr>
        <w:t xml:space="preserve"> dans la </w:t>
      </w:r>
      <w:r w:rsidR="00251E90">
        <w:rPr>
          <w:rFonts w:ascii="Arial" w:hAnsi="Arial"/>
          <w:sz w:val="20"/>
          <w:szCs w:val="20"/>
          <w:lang w:val="fr-FR"/>
        </w:rPr>
        <w:t>C</w:t>
      </w:r>
      <w:r w:rsidRPr="00251E90">
        <w:rPr>
          <w:rFonts w:ascii="Arial" w:hAnsi="Arial"/>
          <w:sz w:val="20"/>
          <w:szCs w:val="20"/>
          <w:lang w:val="fr-FR"/>
        </w:rPr>
        <w:t>onstitution et du principe d’égalité des citoyens qui le sous</w:t>
      </w:r>
      <w:r w:rsidR="001A185F" w:rsidRPr="00251E90">
        <w:rPr>
          <w:rFonts w:ascii="Arial" w:hAnsi="Arial"/>
          <w:sz w:val="20"/>
          <w:szCs w:val="20"/>
          <w:lang w:val="fr-FR"/>
        </w:rPr>
        <w:t>-</w:t>
      </w:r>
      <w:r w:rsidRPr="00251E90">
        <w:rPr>
          <w:rFonts w:ascii="Arial" w:hAnsi="Arial"/>
          <w:sz w:val="20"/>
          <w:szCs w:val="20"/>
          <w:lang w:val="fr-FR"/>
        </w:rPr>
        <w:t>tend et qu’il consacre.</w:t>
      </w:r>
      <w:r w:rsidRPr="00251E90">
        <w:rPr>
          <w:rFonts w:ascii="Arial" w:hAnsi="Arial"/>
          <w:b/>
          <w:sz w:val="20"/>
          <w:szCs w:val="20"/>
          <w:lang w:val="fr-FR"/>
        </w:rPr>
        <w:t xml:space="preserve"> </w:t>
      </w:r>
    </w:p>
    <w:p w:rsidR="00334CF1" w:rsidRPr="00251E90" w:rsidRDefault="00334CF1" w:rsidP="00251E90">
      <w:pPr>
        <w:jc w:val="both"/>
        <w:rPr>
          <w:rFonts w:ascii="Arial" w:hAnsi="Arial"/>
          <w:b/>
          <w:sz w:val="20"/>
          <w:szCs w:val="20"/>
          <w:lang w:val="fr-FR"/>
        </w:rPr>
      </w:pPr>
      <w:r w:rsidRPr="00251E90">
        <w:rPr>
          <w:rFonts w:ascii="Arial" w:hAnsi="Arial"/>
          <w:b/>
          <w:sz w:val="20"/>
          <w:szCs w:val="20"/>
          <w:lang w:val="fr-FR"/>
        </w:rPr>
        <w:t>Retour au mécanisme de péréquation.</w:t>
      </w:r>
    </w:p>
    <w:p w:rsidR="00334CF1" w:rsidRPr="00251E90" w:rsidRDefault="00334CF1" w:rsidP="003731FB">
      <w:pPr>
        <w:ind w:firstLine="708"/>
        <w:jc w:val="both"/>
        <w:rPr>
          <w:rFonts w:ascii="Arial" w:hAnsi="Arial"/>
          <w:sz w:val="20"/>
          <w:szCs w:val="20"/>
          <w:lang w:val="fr-FR"/>
        </w:rPr>
      </w:pPr>
      <w:r w:rsidRPr="00251E90">
        <w:rPr>
          <w:rFonts w:ascii="Arial" w:hAnsi="Arial"/>
          <w:sz w:val="20"/>
          <w:szCs w:val="20"/>
          <w:lang w:val="fr-FR"/>
        </w:rPr>
        <w:t xml:space="preserve">Qualifié de pierre angulaire de la </w:t>
      </w:r>
      <w:r w:rsidR="00251E90" w:rsidRPr="00251E90">
        <w:rPr>
          <w:rFonts w:ascii="Arial" w:hAnsi="Arial"/>
          <w:sz w:val="20"/>
          <w:szCs w:val="20"/>
          <w:lang w:val="fr-FR"/>
        </w:rPr>
        <w:t>Fédération</w:t>
      </w:r>
      <w:r w:rsidRPr="00251E90">
        <w:rPr>
          <w:rFonts w:ascii="Arial" w:hAnsi="Arial"/>
          <w:sz w:val="20"/>
          <w:szCs w:val="20"/>
          <w:lang w:val="fr-FR"/>
        </w:rPr>
        <w:t xml:space="preserve"> canadienne, le mécanisme de péréquation est au cœur du fédéralisme fiscal canadien depuis plus de cinquante ans. Il a été enchâssé dans la </w:t>
      </w:r>
      <w:r w:rsidRPr="00251E90">
        <w:rPr>
          <w:rFonts w:ascii="Arial" w:hAnsi="Arial"/>
          <w:i/>
          <w:iCs/>
          <w:sz w:val="20"/>
          <w:szCs w:val="20"/>
          <w:lang w:val="fr-FR"/>
        </w:rPr>
        <w:t xml:space="preserve">Loi constitutionnelle de 1982, </w:t>
      </w:r>
      <w:r w:rsidRPr="00251E90">
        <w:rPr>
          <w:rFonts w:ascii="Arial" w:hAnsi="Arial"/>
          <w:iCs/>
          <w:sz w:val="20"/>
          <w:szCs w:val="20"/>
          <w:lang w:val="fr-FR"/>
        </w:rPr>
        <w:t xml:space="preserve">ce qui le sanctuarise et le protège des aléas politiques ou autres qui pourraient autrement l’affecter. </w:t>
      </w:r>
    </w:p>
    <w:p w:rsidR="001A185F" w:rsidRPr="00251E90" w:rsidRDefault="00334CF1" w:rsidP="003731FB">
      <w:pPr>
        <w:ind w:firstLine="708"/>
        <w:jc w:val="both"/>
        <w:rPr>
          <w:rFonts w:ascii="Arial" w:hAnsi="Arial"/>
          <w:color w:val="231916"/>
          <w:sz w:val="20"/>
          <w:szCs w:val="20"/>
          <w:lang w:val="fr-FR"/>
        </w:rPr>
      </w:pPr>
      <w:r w:rsidRPr="00251E90">
        <w:rPr>
          <w:rFonts w:ascii="Arial" w:hAnsi="Arial"/>
          <w:sz w:val="20"/>
          <w:szCs w:val="20"/>
          <w:lang w:val="fr-FR"/>
        </w:rPr>
        <w:t xml:space="preserve">Ce mécanisme vise à offrir aux </w:t>
      </w:r>
      <w:r w:rsidR="00251E90" w:rsidRPr="00251E90">
        <w:rPr>
          <w:rFonts w:ascii="Arial" w:hAnsi="Arial"/>
          <w:sz w:val="20"/>
          <w:szCs w:val="20"/>
          <w:lang w:val="fr-FR"/>
        </w:rPr>
        <w:t>Province</w:t>
      </w:r>
      <w:r w:rsidRPr="00251E90">
        <w:rPr>
          <w:rFonts w:ascii="Arial" w:hAnsi="Arial"/>
          <w:sz w:val="20"/>
          <w:szCs w:val="20"/>
          <w:lang w:val="fr-FR"/>
        </w:rPr>
        <w:t>s canadiennes moins prospères une compensation pour la faiblesse de leur assiette fiscale afin qu’elles puissent toutes offrir des services publics comparables</w:t>
      </w:r>
      <w:r w:rsidR="00F664C3" w:rsidRPr="00251E90">
        <w:rPr>
          <w:rFonts w:ascii="Arial" w:hAnsi="Arial"/>
          <w:sz w:val="20"/>
          <w:szCs w:val="20"/>
          <w:lang w:val="fr-FR"/>
        </w:rPr>
        <w:t>,</w:t>
      </w:r>
      <w:r w:rsidRPr="00251E90">
        <w:rPr>
          <w:rFonts w:ascii="Arial" w:hAnsi="Arial"/>
          <w:sz w:val="20"/>
          <w:szCs w:val="20"/>
          <w:lang w:val="fr-FR"/>
        </w:rPr>
        <w:t xml:space="preserve"> peu importe où résident les Canadiens. </w:t>
      </w:r>
      <w:r w:rsidRPr="00251E90">
        <w:rPr>
          <w:rFonts w:ascii="Arial" w:hAnsi="Arial"/>
          <w:color w:val="231916"/>
          <w:sz w:val="20"/>
          <w:szCs w:val="20"/>
          <w:lang w:val="fr-FR"/>
        </w:rPr>
        <w:t xml:space="preserve">Les </w:t>
      </w:r>
      <w:r w:rsidR="00251E90" w:rsidRPr="00251E90">
        <w:rPr>
          <w:rFonts w:ascii="Arial" w:hAnsi="Arial"/>
          <w:color w:val="231916"/>
          <w:sz w:val="20"/>
          <w:szCs w:val="20"/>
          <w:lang w:val="fr-FR"/>
        </w:rPr>
        <w:t>Province</w:t>
      </w:r>
      <w:r w:rsidRPr="00251E90">
        <w:rPr>
          <w:rFonts w:ascii="Arial" w:hAnsi="Arial"/>
          <w:color w:val="231916"/>
          <w:sz w:val="20"/>
          <w:szCs w:val="20"/>
          <w:lang w:val="fr-FR"/>
        </w:rPr>
        <w:t>s étant responsables de la grande majorité des services publics, dont l’éducation, la santé e</w:t>
      </w:r>
      <w:r w:rsidR="001A185F" w:rsidRPr="00251E90">
        <w:rPr>
          <w:rFonts w:ascii="Arial" w:hAnsi="Arial"/>
          <w:color w:val="231916"/>
          <w:sz w:val="20"/>
          <w:szCs w:val="20"/>
          <w:lang w:val="fr-FR"/>
        </w:rPr>
        <w:t>t les services sociaux</w:t>
      </w:r>
      <w:r w:rsidRPr="00251E90">
        <w:rPr>
          <w:rFonts w:ascii="Arial" w:hAnsi="Arial"/>
          <w:color w:val="231916"/>
          <w:sz w:val="20"/>
          <w:szCs w:val="20"/>
          <w:lang w:val="fr-FR"/>
        </w:rPr>
        <w:t>, la péréquation</w:t>
      </w:r>
      <w:r w:rsidR="001A185F" w:rsidRPr="00251E90">
        <w:rPr>
          <w:rFonts w:ascii="Arial" w:hAnsi="Arial"/>
          <w:color w:val="231916"/>
          <w:sz w:val="20"/>
          <w:szCs w:val="20"/>
          <w:lang w:val="fr-FR"/>
        </w:rPr>
        <w:t xml:space="preserve">, cet outil de solidarité, respecte en tout point leur égalité et leur autonomie et n’influe pas </w:t>
      </w:r>
      <w:r w:rsidRPr="00251E90">
        <w:rPr>
          <w:rFonts w:ascii="Arial" w:hAnsi="Arial"/>
          <w:color w:val="231916"/>
          <w:sz w:val="20"/>
          <w:szCs w:val="20"/>
          <w:lang w:val="fr-FR"/>
        </w:rPr>
        <w:t xml:space="preserve"> </w:t>
      </w:r>
      <w:r w:rsidR="001A185F" w:rsidRPr="00251E90">
        <w:rPr>
          <w:rFonts w:ascii="Arial" w:hAnsi="Arial"/>
          <w:color w:val="231916"/>
          <w:sz w:val="20"/>
          <w:szCs w:val="20"/>
          <w:lang w:val="fr-FR"/>
        </w:rPr>
        <w:t>directement</w:t>
      </w:r>
      <w:r w:rsidRPr="00251E90">
        <w:rPr>
          <w:rFonts w:ascii="Arial" w:hAnsi="Arial"/>
          <w:color w:val="231916"/>
          <w:sz w:val="20"/>
          <w:szCs w:val="20"/>
          <w:lang w:val="fr-FR"/>
        </w:rPr>
        <w:t xml:space="preserve"> sur le</w:t>
      </w:r>
      <w:r w:rsidR="001A185F" w:rsidRPr="00251E90">
        <w:rPr>
          <w:rFonts w:ascii="Arial" w:hAnsi="Arial"/>
          <w:color w:val="231916"/>
          <w:sz w:val="20"/>
          <w:szCs w:val="20"/>
          <w:lang w:val="fr-FR"/>
        </w:rPr>
        <w:t>ur</w:t>
      </w:r>
      <w:r w:rsidRPr="00251E90">
        <w:rPr>
          <w:rFonts w:ascii="Arial" w:hAnsi="Arial"/>
          <w:color w:val="231916"/>
          <w:sz w:val="20"/>
          <w:szCs w:val="20"/>
          <w:lang w:val="fr-FR"/>
        </w:rPr>
        <w:t xml:space="preserve">s </w:t>
      </w:r>
      <w:r w:rsidR="001A185F" w:rsidRPr="00251E90">
        <w:rPr>
          <w:rFonts w:ascii="Arial" w:hAnsi="Arial"/>
          <w:color w:val="231916"/>
          <w:sz w:val="20"/>
          <w:szCs w:val="20"/>
          <w:lang w:val="fr-FR"/>
        </w:rPr>
        <w:t>orientations et choix politiques.</w:t>
      </w:r>
    </w:p>
    <w:p w:rsidR="00334CF1" w:rsidRPr="00251E90" w:rsidRDefault="00334CF1" w:rsidP="003731FB">
      <w:pPr>
        <w:ind w:firstLine="708"/>
        <w:jc w:val="both"/>
        <w:rPr>
          <w:rFonts w:ascii="Arial" w:hAnsi="Arial"/>
          <w:color w:val="231916"/>
          <w:sz w:val="20"/>
          <w:szCs w:val="20"/>
          <w:lang w:val="fr-FR"/>
        </w:rPr>
      </w:pPr>
      <w:r w:rsidRPr="00251E90">
        <w:rPr>
          <w:rFonts w:ascii="Arial" w:hAnsi="Arial"/>
          <w:sz w:val="20"/>
          <w:szCs w:val="20"/>
          <w:lang w:val="fr-FR"/>
        </w:rPr>
        <w:t xml:space="preserve">Un principe sous-tend la péréquation, </w:t>
      </w:r>
      <w:r w:rsidRPr="00251E90">
        <w:rPr>
          <w:rFonts w:ascii="Arial" w:hAnsi="Arial"/>
          <w:b/>
          <w:sz w:val="20"/>
          <w:szCs w:val="20"/>
          <w:lang w:val="fr-FR"/>
        </w:rPr>
        <w:t>le principe d’égalité des citoyens</w:t>
      </w:r>
      <w:r w:rsidR="00251E90" w:rsidRPr="00251E90">
        <w:rPr>
          <w:rFonts w:ascii="Arial" w:hAnsi="Arial"/>
          <w:sz w:val="20"/>
          <w:szCs w:val="20"/>
          <w:lang w:val="fr-FR"/>
        </w:rPr>
        <w:t>,</w:t>
      </w:r>
      <w:r w:rsidRPr="00251E90">
        <w:rPr>
          <w:rFonts w:ascii="Arial" w:hAnsi="Arial"/>
          <w:sz w:val="20"/>
          <w:szCs w:val="20"/>
          <w:lang w:val="fr-FR"/>
        </w:rPr>
        <w:t xml:space="preserve"> qui est la valeur de référence pour l’ensemble de l’architecture constitutionnelle de la </w:t>
      </w:r>
      <w:r w:rsidR="00251E90" w:rsidRPr="00251E90">
        <w:rPr>
          <w:rFonts w:ascii="Arial" w:hAnsi="Arial"/>
          <w:sz w:val="20"/>
          <w:szCs w:val="20"/>
          <w:lang w:val="fr-FR"/>
        </w:rPr>
        <w:t>Fédération</w:t>
      </w:r>
      <w:r w:rsidRPr="00251E90">
        <w:rPr>
          <w:rFonts w:ascii="Arial" w:hAnsi="Arial"/>
          <w:sz w:val="20"/>
          <w:szCs w:val="20"/>
          <w:lang w:val="fr-FR"/>
        </w:rPr>
        <w:t xml:space="preserve"> canadienne. Si le programme de péréquation a d’abord été déployé en direction des </w:t>
      </w:r>
      <w:r w:rsidR="00251E90" w:rsidRPr="00251E90">
        <w:rPr>
          <w:rFonts w:ascii="Arial" w:hAnsi="Arial"/>
          <w:sz w:val="20"/>
          <w:szCs w:val="20"/>
          <w:lang w:val="fr-FR"/>
        </w:rPr>
        <w:t>Province</w:t>
      </w:r>
      <w:r w:rsidRPr="00251E90">
        <w:rPr>
          <w:rFonts w:ascii="Arial" w:hAnsi="Arial"/>
          <w:sz w:val="20"/>
          <w:szCs w:val="20"/>
          <w:lang w:val="fr-FR"/>
        </w:rPr>
        <w:t>s, la formule a été étendue</w:t>
      </w:r>
      <w:r w:rsidR="008F645E" w:rsidRPr="00251E90">
        <w:rPr>
          <w:rFonts w:ascii="Arial" w:hAnsi="Arial"/>
          <w:sz w:val="20"/>
          <w:szCs w:val="20"/>
          <w:lang w:val="fr-FR"/>
        </w:rPr>
        <w:t>, avec des modalités particulières,</w:t>
      </w:r>
      <w:r w:rsidRPr="00251E90">
        <w:rPr>
          <w:rFonts w:ascii="Arial" w:hAnsi="Arial"/>
          <w:sz w:val="20"/>
          <w:szCs w:val="20"/>
          <w:lang w:val="fr-FR"/>
        </w:rPr>
        <w:t xml:space="preserve"> aux </w:t>
      </w:r>
      <w:r w:rsidR="00251E90">
        <w:rPr>
          <w:rFonts w:ascii="Arial" w:hAnsi="Arial"/>
          <w:sz w:val="20"/>
          <w:szCs w:val="20"/>
          <w:lang w:val="fr-FR"/>
        </w:rPr>
        <w:t>Territoire</w:t>
      </w:r>
      <w:r w:rsidRPr="00251E90">
        <w:rPr>
          <w:rFonts w:ascii="Arial" w:hAnsi="Arial"/>
          <w:sz w:val="20"/>
          <w:szCs w:val="20"/>
          <w:lang w:val="fr-FR"/>
        </w:rPr>
        <w:t xml:space="preserve">s du Nord constitués après les </w:t>
      </w:r>
      <w:r w:rsidR="00251E90" w:rsidRPr="00251E90">
        <w:rPr>
          <w:rFonts w:ascii="Arial" w:hAnsi="Arial"/>
          <w:sz w:val="20"/>
          <w:szCs w:val="20"/>
          <w:lang w:val="fr-FR"/>
        </w:rPr>
        <w:t>Province</w:t>
      </w:r>
      <w:r w:rsidRPr="00251E90">
        <w:rPr>
          <w:rFonts w:ascii="Arial" w:hAnsi="Arial"/>
          <w:sz w:val="20"/>
          <w:szCs w:val="20"/>
          <w:lang w:val="fr-FR"/>
        </w:rPr>
        <w:t>s afin qu’ils</w:t>
      </w:r>
      <w:r w:rsidRPr="00251E90">
        <w:rPr>
          <w:rFonts w:ascii="Arial" w:hAnsi="Arial"/>
          <w:color w:val="000000"/>
          <w:sz w:val="20"/>
          <w:szCs w:val="20"/>
          <w:shd w:val="clear" w:color="auto" w:fill="FFFFFF"/>
          <w:lang w:val="fr-FR"/>
        </w:rPr>
        <w:t xml:space="preserve"> puissent offrir des services comparables à ceux </w:t>
      </w:r>
      <w:r w:rsidR="00F664C3" w:rsidRPr="00251E90">
        <w:rPr>
          <w:rFonts w:ascii="Arial" w:hAnsi="Arial"/>
          <w:color w:val="000000"/>
          <w:sz w:val="20"/>
          <w:szCs w:val="20"/>
          <w:shd w:val="clear" w:color="auto" w:fill="FFFFFF"/>
          <w:lang w:val="fr-FR"/>
        </w:rPr>
        <w:t>offerts par l</w:t>
      </w:r>
      <w:r w:rsidRPr="00251E90">
        <w:rPr>
          <w:rFonts w:ascii="Arial" w:hAnsi="Arial"/>
          <w:color w:val="000000"/>
          <w:sz w:val="20"/>
          <w:szCs w:val="20"/>
          <w:shd w:val="clear" w:color="auto" w:fill="FFFFFF"/>
          <w:lang w:val="fr-FR"/>
        </w:rPr>
        <w:t xml:space="preserve">es </w:t>
      </w:r>
      <w:r w:rsidR="00251E90" w:rsidRPr="00251E90">
        <w:rPr>
          <w:rFonts w:ascii="Arial" w:hAnsi="Arial"/>
          <w:color w:val="000000"/>
          <w:sz w:val="20"/>
          <w:szCs w:val="20"/>
          <w:shd w:val="clear" w:color="auto" w:fill="FFFFFF"/>
          <w:lang w:val="fr-FR"/>
        </w:rPr>
        <w:t>Province</w:t>
      </w:r>
      <w:r w:rsidRPr="00251E90">
        <w:rPr>
          <w:rFonts w:ascii="Arial" w:hAnsi="Arial"/>
          <w:color w:val="000000"/>
          <w:sz w:val="20"/>
          <w:szCs w:val="20"/>
          <w:shd w:val="clear" w:color="auto" w:fill="FFFFFF"/>
          <w:lang w:val="fr-FR"/>
        </w:rPr>
        <w:t>s, à des niveaux d’imposition comparables</w:t>
      </w:r>
      <w:r w:rsidRPr="00251E90">
        <w:rPr>
          <w:rStyle w:val="FootnoteReference"/>
          <w:rFonts w:ascii="Arial" w:hAnsi="Arial"/>
          <w:sz w:val="20"/>
          <w:szCs w:val="20"/>
          <w:lang w:val="fr-FR"/>
        </w:rPr>
        <w:footnoteReference w:id="3"/>
      </w:r>
      <w:r w:rsidR="00251E90">
        <w:rPr>
          <w:rFonts w:ascii="Arial" w:hAnsi="Arial"/>
          <w:color w:val="000000"/>
          <w:sz w:val="20"/>
          <w:szCs w:val="20"/>
          <w:shd w:val="clear" w:color="auto" w:fill="FFFFFF"/>
          <w:lang w:val="fr-FR"/>
        </w:rPr>
        <w:t>.</w:t>
      </w:r>
      <w:r w:rsidRPr="00251E90">
        <w:rPr>
          <w:rFonts w:ascii="Arial" w:hAnsi="Arial"/>
          <w:color w:val="000000"/>
          <w:sz w:val="20"/>
          <w:szCs w:val="20"/>
          <w:shd w:val="clear" w:color="auto" w:fill="FFFFFF"/>
          <w:lang w:val="fr-FR"/>
        </w:rPr>
        <w:t xml:space="preserve"> Bref, l’objectif du programme de péréquation est précis. </w:t>
      </w:r>
      <w:r w:rsidRPr="00251E90">
        <w:rPr>
          <w:rFonts w:ascii="Arial" w:hAnsi="Arial"/>
          <w:b/>
          <w:color w:val="000000"/>
          <w:sz w:val="20"/>
          <w:szCs w:val="20"/>
          <w:shd w:val="clear" w:color="auto" w:fill="FFFFFF"/>
          <w:lang w:val="fr-FR"/>
        </w:rPr>
        <w:t xml:space="preserve">Tous les </w:t>
      </w:r>
      <w:r w:rsidR="00251E90">
        <w:rPr>
          <w:rFonts w:ascii="Arial" w:hAnsi="Arial"/>
          <w:b/>
          <w:color w:val="000000"/>
          <w:sz w:val="20"/>
          <w:szCs w:val="20"/>
          <w:shd w:val="clear" w:color="auto" w:fill="FFFFFF"/>
          <w:lang w:val="fr-FR"/>
        </w:rPr>
        <w:t>C</w:t>
      </w:r>
      <w:r w:rsidRPr="00251E90">
        <w:rPr>
          <w:rFonts w:ascii="Arial" w:hAnsi="Arial"/>
          <w:b/>
          <w:color w:val="000000"/>
          <w:sz w:val="20"/>
          <w:szCs w:val="20"/>
          <w:shd w:val="clear" w:color="auto" w:fill="FFFFFF"/>
          <w:lang w:val="fr-FR"/>
        </w:rPr>
        <w:t>anadiens</w:t>
      </w:r>
      <w:r w:rsidRPr="00251E90">
        <w:rPr>
          <w:rFonts w:ascii="Arial" w:hAnsi="Arial"/>
          <w:b/>
          <w:color w:val="231916"/>
          <w:sz w:val="20"/>
          <w:szCs w:val="20"/>
          <w:lang w:val="fr-FR"/>
        </w:rPr>
        <w:t xml:space="preserve"> doivent avoir accès à des services sensiblement comparables, par exemple de soins de santé, sans avoir à payer des impôts plus lourds que leurs concitoyens des autres </w:t>
      </w:r>
      <w:r w:rsidR="00251E90" w:rsidRPr="00251E90">
        <w:rPr>
          <w:rFonts w:ascii="Arial" w:hAnsi="Arial"/>
          <w:b/>
          <w:color w:val="231916"/>
          <w:sz w:val="20"/>
          <w:szCs w:val="20"/>
          <w:lang w:val="fr-FR"/>
        </w:rPr>
        <w:t>Province</w:t>
      </w:r>
      <w:r w:rsidRPr="00251E90">
        <w:rPr>
          <w:rFonts w:ascii="Arial" w:hAnsi="Arial"/>
          <w:b/>
          <w:color w:val="231916"/>
          <w:sz w:val="20"/>
          <w:szCs w:val="20"/>
          <w:lang w:val="fr-FR"/>
        </w:rPr>
        <w:t>s.</w:t>
      </w:r>
      <w:r w:rsidRPr="00251E90">
        <w:rPr>
          <w:rFonts w:ascii="Arial" w:hAnsi="Arial"/>
          <w:color w:val="231916"/>
          <w:sz w:val="20"/>
          <w:szCs w:val="20"/>
          <w:lang w:val="fr-FR"/>
        </w:rPr>
        <w:t xml:space="preserve"> </w:t>
      </w:r>
      <w:r w:rsidRPr="00251E90">
        <w:rPr>
          <w:rFonts w:ascii="Arial" w:hAnsi="Arial"/>
          <w:sz w:val="20"/>
          <w:szCs w:val="20"/>
          <w:lang w:val="fr-FR"/>
        </w:rPr>
        <w:t xml:space="preserve">Maintes études ont souligné que, faute d’un tel programme </w:t>
      </w:r>
      <w:r w:rsidR="00251E90">
        <w:rPr>
          <w:rFonts w:ascii="Arial" w:hAnsi="Arial"/>
          <w:sz w:val="20"/>
          <w:szCs w:val="20"/>
          <w:lang w:val="fr-FR"/>
        </w:rPr>
        <w:t xml:space="preserve">− </w:t>
      </w:r>
      <w:r w:rsidRPr="00251E90">
        <w:rPr>
          <w:rFonts w:ascii="Arial" w:hAnsi="Arial"/>
          <w:sz w:val="20"/>
          <w:szCs w:val="20"/>
          <w:lang w:val="fr-FR"/>
        </w:rPr>
        <w:t>qui est entièrement financé par les revenus du gouvernement fédéral</w:t>
      </w:r>
      <w:r w:rsidR="00251E90">
        <w:rPr>
          <w:rFonts w:ascii="Arial" w:hAnsi="Arial"/>
          <w:sz w:val="20"/>
          <w:szCs w:val="20"/>
          <w:lang w:val="fr-FR"/>
        </w:rPr>
        <w:t xml:space="preserve"> −</w:t>
      </w:r>
      <w:r w:rsidRPr="00251E90">
        <w:rPr>
          <w:rFonts w:ascii="Arial" w:hAnsi="Arial"/>
          <w:sz w:val="20"/>
          <w:szCs w:val="20"/>
          <w:lang w:val="fr-FR"/>
        </w:rPr>
        <w:t>, les services publics essentiels accuseraient de grandes différences à l’intérieur du Canada.</w:t>
      </w:r>
      <w:r w:rsidRPr="00251E90">
        <w:rPr>
          <w:rFonts w:ascii="Arial" w:hAnsi="Arial"/>
          <w:color w:val="231916"/>
          <w:sz w:val="20"/>
          <w:szCs w:val="20"/>
          <w:lang w:val="fr-FR"/>
        </w:rPr>
        <w:t xml:space="preserve"> </w:t>
      </w:r>
    </w:p>
    <w:p w:rsidR="00334CF1" w:rsidRPr="00251E90" w:rsidRDefault="00334CF1" w:rsidP="003731FB">
      <w:pPr>
        <w:ind w:firstLine="708"/>
        <w:jc w:val="both"/>
        <w:rPr>
          <w:rFonts w:ascii="Arial" w:hAnsi="Arial"/>
          <w:sz w:val="20"/>
          <w:szCs w:val="20"/>
          <w:lang w:val="fr-FR"/>
        </w:rPr>
      </w:pPr>
      <w:r w:rsidRPr="00251E90">
        <w:rPr>
          <w:rFonts w:ascii="Arial" w:hAnsi="Arial"/>
          <w:sz w:val="20"/>
          <w:szCs w:val="20"/>
          <w:lang w:val="fr-FR"/>
        </w:rPr>
        <w:t>Comme le mentionne le Groupe d’experts sur la péréquation</w:t>
      </w:r>
      <w:r w:rsidRPr="00251E90">
        <w:rPr>
          <w:rStyle w:val="FootnoteReference"/>
          <w:rFonts w:ascii="Arial" w:hAnsi="Arial"/>
          <w:sz w:val="20"/>
          <w:szCs w:val="20"/>
          <w:lang w:val="fr-FR"/>
        </w:rPr>
        <w:footnoteReference w:id="4"/>
      </w:r>
      <w:r w:rsidRPr="00251E90">
        <w:rPr>
          <w:rFonts w:ascii="Arial" w:hAnsi="Arial"/>
          <w:sz w:val="20"/>
          <w:szCs w:val="20"/>
          <w:lang w:val="fr-FR"/>
        </w:rPr>
        <w:t xml:space="preserve"> qui s’est livré, en 2006, à un examen indépendant  de </w:t>
      </w:r>
      <w:r w:rsidR="001A185F" w:rsidRPr="00251E90">
        <w:rPr>
          <w:rFonts w:ascii="Arial" w:hAnsi="Arial"/>
          <w:sz w:val="20"/>
          <w:szCs w:val="20"/>
          <w:lang w:val="fr-FR"/>
        </w:rPr>
        <w:t xml:space="preserve">cette politique, </w:t>
      </w:r>
      <w:r w:rsidRPr="00251E90">
        <w:rPr>
          <w:rFonts w:ascii="Arial" w:hAnsi="Arial"/>
          <w:sz w:val="20"/>
          <w:szCs w:val="20"/>
          <w:lang w:val="fr-FR"/>
        </w:rPr>
        <w:t>la péréquation n’a pas pour objectif principal de réaliser une plus grande égalité de revenus entre les citoyens, ni de soutenir directement le développement économique régional. Ces objectifs font, au Canada, l’objet de mesures distinctes par le biais d’ententes bilatérales entre l’</w:t>
      </w:r>
      <w:r w:rsidR="00251E90" w:rsidRPr="00251E90">
        <w:rPr>
          <w:rFonts w:ascii="Arial" w:hAnsi="Arial"/>
          <w:sz w:val="20"/>
          <w:szCs w:val="20"/>
          <w:lang w:val="fr-FR"/>
        </w:rPr>
        <w:t xml:space="preserve">État </w:t>
      </w:r>
      <w:r w:rsidRPr="00251E90">
        <w:rPr>
          <w:rFonts w:ascii="Arial" w:hAnsi="Arial"/>
          <w:sz w:val="20"/>
          <w:szCs w:val="20"/>
          <w:lang w:val="fr-FR"/>
        </w:rPr>
        <w:t xml:space="preserve">fédéral et une </w:t>
      </w:r>
      <w:r w:rsidR="00251E90" w:rsidRPr="00251E90">
        <w:rPr>
          <w:rFonts w:ascii="Arial" w:hAnsi="Arial"/>
          <w:sz w:val="20"/>
          <w:szCs w:val="20"/>
          <w:lang w:val="fr-FR"/>
        </w:rPr>
        <w:t>Province</w:t>
      </w:r>
      <w:r w:rsidRPr="00251E90">
        <w:rPr>
          <w:rFonts w:ascii="Arial" w:hAnsi="Arial"/>
          <w:sz w:val="20"/>
          <w:szCs w:val="20"/>
          <w:lang w:val="fr-FR"/>
        </w:rPr>
        <w:t xml:space="preserve"> ou un </w:t>
      </w:r>
      <w:r w:rsidR="00251E90" w:rsidRPr="00251E90">
        <w:rPr>
          <w:rFonts w:ascii="Arial" w:hAnsi="Arial"/>
          <w:sz w:val="20"/>
          <w:szCs w:val="20"/>
          <w:lang w:val="fr-FR"/>
        </w:rPr>
        <w:t>Territoire</w:t>
      </w:r>
      <w:r w:rsidRPr="00251E90">
        <w:rPr>
          <w:rFonts w:ascii="Arial" w:hAnsi="Arial"/>
          <w:sz w:val="20"/>
          <w:szCs w:val="20"/>
          <w:lang w:val="fr-FR"/>
        </w:rPr>
        <w:t xml:space="preserve">. En conséquence, elles varient d’une situation  à l’autre. La péréquation a pour objet, selon une formule basée sur les données du Régime fiscal représentatif (RFR), de combler annuellement l’écart </w:t>
      </w:r>
      <w:r w:rsidRPr="00251E90">
        <w:rPr>
          <w:rFonts w:ascii="Arial" w:hAnsi="Arial"/>
          <w:sz w:val="20"/>
          <w:szCs w:val="20"/>
          <w:lang w:val="fr-FR"/>
        </w:rPr>
        <w:lastRenderedPageBreak/>
        <w:t xml:space="preserve">entre la capacité fiscale d’une </w:t>
      </w:r>
      <w:r w:rsidR="00251E90" w:rsidRPr="00251E90">
        <w:rPr>
          <w:rFonts w:ascii="Arial" w:hAnsi="Arial"/>
          <w:sz w:val="20"/>
          <w:szCs w:val="20"/>
          <w:lang w:val="fr-FR"/>
        </w:rPr>
        <w:t>Province</w:t>
      </w:r>
      <w:r w:rsidRPr="00251E90">
        <w:rPr>
          <w:rFonts w:ascii="Arial" w:hAnsi="Arial"/>
          <w:sz w:val="20"/>
          <w:szCs w:val="20"/>
          <w:lang w:val="fr-FR"/>
        </w:rPr>
        <w:t xml:space="preserve"> d’offrir des services provinciaux par rapport à une moyenne commune pour l’ensemble du pays</w:t>
      </w:r>
      <w:r w:rsidRPr="00251E90">
        <w:rPr>
          <w:rStyle w:val="FootnoteReference"/>
          <w:rFonts w:ascii="Arial" w:hAnsi="Arial"/>
          <w:sz w:val="20"/>
          <w:szCs w:val="20"/>
          <w:lang w:val="fr-FR"/>
        </w:rPr>
        <w:footnoteReference w:id="5"/>
      </w:r>
      <w:r w:rsidRPr="00251E90">
        <w:rPr>
          <w:rFonts w:ascii="Arial" w:hAnsi="Arial"/>
          <w:sz w:val="20"/>
          <w:szCs w:val="20"/>
          <w:lang w:val="fr-FR"/>
        </w:rPr>
        <w:t xml:space="preserve">. En 2013-2014, six </w:t>
      </w:r>
      <w:r w:rsidR="00251E90" w:rsidRPr="00251E90">
        <w:rPr>
          <w:rFonts w:ascii="Arial" w:hAnsi="Arial"/>
          <w:sz w:val="20"/>
          <w:szCs w:val="20"/>
          <w:lang w:val="fr-FR"/>
        </w:rPr>
        <w:t>Province</w:t>
      </w:r>
      <w:r w:rsidRPr="00251E90">
        <w:rPr>
          <w:rFonts w:ascii="Arial" w:hAnsi="Arial"/>
          <w:sz w:val="20"/>
          <w:szCs w:val="20"/>
          <w:lang w:val="fr-FR"/>
        </w:rPr>
        <w:t>s recevront des transferts au titre de la péréquation.</w:t>
      </w:r>
      <w:r w:rsidRPr="00251E90">
        <w:rPr>
          <w:rStyle w:val="FootnoteReference"/>
          <w:rFonts w:ascii="Arial" w:hAnsi="Arial"/>
          <w:sz w:val="20"/>
          <w:szCs w:val="20"/>
          <w:lang w:val="fr-FR"/>
        </w:rPr>
        <w:footnoteReference w:id="6"/>
      </w:r>
      <w:r w:rsidRPr="00251E90">
        <w:rPr>
          <w:rFonts w:ascii="Arial" w:hAnsi="Arial"/>
          <w:sz w:val="20"/>
          <w:szCs w:val="20"/>
          <w:lang w:val="fr-FR"/>
        </w:rPr>
        <w:t xml:space="preserve"> </w:t>
      </w:r>
    </w:p>
    <w:p w:rsidR="00334CF1" w:rsidRPr="00251E90" w:rsidRDefault="00334CF1" w:rsidP="000A7776">
      <w:pPr>
        <w:jc w:val="both"/>
        <w:rPr>
          <w:rFonts w:ascii="Arial" w:hAnsi="Arial"/>
          <w:sz w:val="20"/>
          <w:szCs w:val="20"/>
          <w:lang w:val="fr-FR"/>
        </w:rPr>
      </w:pPr>
      <w:r w:rsidRPr="00251E90">
        <w:rPr>
          <w:rFonts w:ascii="Arial" w:hAnsi="Arial"/>
          <w:b/>
          <w:sz w:val="20"/>
          <w:szCs w:val="20"/>
          <w:lang w:val="fr-FR"/>
        </w:rPr>
        <w:t>Un mécanisme permanent dans un monde en changement</w:t>
      </w:r>
    </w:p>
    <w:p w:rsidR="00F664C3" w:rsidRPr="00251E90" w:rsidRDefault="00334CF1" w:rsidP="003731FB">
      <w:pPr>
        <w:ind w:firstLine="708"/>
        <w:jc w:val="both"/>
        <w:rPr>
          <w:rFonts w:ascii="Arial" w:hAnsi="Arial"/>
          <w:sz w:val="20"/>
          <w:szCs w:val="20"/>
          <w:lang w:val="fr-FR"/>
        </w:rPr>
      </w:pPr>
      <w:r w:rsidRPr="00251E90">
        <w:rPr>
          <w:rFonts w:ascii="Arial" w:hAnsi="Arial"/>
          <w:sz w:val="20"/>
          <w:szCs w:val="20"/>
          <w:lang w:val="fr-FR"/>
        </w:rPr>
        <w:t>Si le mécanisme de la péréquation est permanent</w:t>
      </w:r>
      <w:r w:rsidR="000A7776">
        <w:rPr>
          <w:rFonts w:ascii="Arial" w:hAnsi="Arial"/>
          <w:sz w:val="20"/>
          <w:szCs w:val="20"/>
          <w:lang w:val="fr-FR"/>
        </w:rPr>
        <w:t>,</w:t>
      </w:r>
      <w:r w:rsidRPr="00251E90">
        <w:rPr>
          <w:rFonts w:ascii="Arial" w:hAnsi="Arial"/>
          <w:sz w:val="20"/>
          <w:szCs w:val="20"/>
          <w:lang w:val="fr-FR"/>
        </w:rPr>
        <w:t xml:space="preserve"> en conséquence notamment de son inclusion dans la </w:t>
      </w:r>
      <w:r w:rsidR="000A7776">
        <w:rPr>
          <w:rFonts w:ascii="Arial" w:hAnsi="Arial"/>
          <w:sz w:val="20"/>
          <w:szCs w:val="20"/>
          <w:lang w:val="fr-FR"/>
        </w:rPr>
        <w:t>C</w:t>
      </w:r>
      <w:r w:rsidRPr="00251E90">
        <w:rPr>
          <w:rFonts w:ascii="Arial" w:hAnsi="Arial"/>
          <w:sz w:val="20"/>
          <w:szCs w:val="20"/>
          <w:lang w:val="fr-FR"/>
        </w:rPr>
        <w:t>onstitution, il se déploie dans un monde en perpétuel  changement qui fait varier en permanence le rendement de leur économie respective et, en conséquence, les disparités</w:t>
      </w:r>
      <w:r w:rsidR="00F664C3" w:rsidRPr="00251E90">
        <w:rPr>
          <w:rFonts w:ascii="Arial" w:hAnsi="Arial"/>
          <w:sz w:val="20"/>
          <w:szCs w:val="20"/>
          <w:lang w:val="fr-FR"/>
        </w:rPr>
        <w:t xml:space="preserve"> entre les économies des divers</w:t>
      </w:r>
      <w:r w:rsidRPr="00251E90">
        <w:rPr>
          <w:rFonts w:ascii="Arial" w:hAnsi="Arial"/>
          <w:sz w:val="20"/>
          <w:szCs w:val="20"/>
          <w:lang w:val="fr-FR"/>
        </w:rPr>
        <w:t xml:space="preserve"> </w:t>
      </w:r>
      <w:r w:rsidR="00251E90" w:rsidRPr="00251E90">
        <w:rPr>
          <w:rFonts w:ascii="Arial" w:hAnsi="Arial"/>
          <w:sz w:val="20"/>
          <w:szCs w:val="20"/>
          <w:lang w:val="fr-FR"/>
        </w:rPr>
        <w:t>Territoire</w:t>
      </w:r>
      <w:r w:rsidRPr="00251E90">
        <w:rPr>
          <w:rFonts w:ascii="Arial" w:hAnsi="Arial"/>
          <w:sz w:val="20"/>
          <w:szCs w:val="20"/>
          <w:lang w:val="fr-FR"/>
        </w:rPr>
        <w:t xml:space="preserve">s et </w:t>
      </w:r>
      <w:r w:rsidR="00251E90" w:rsidRPr="00251E90">
        <w:rPr>
          <w:rFonts w:ascii="Arial" w:hAnsi="Arial"/>
          <w:sz w:val="20"/>
          <w:szCs w:val="20"/>
          <w:lang w:val="fr-FR"/>
        </w:rPr>
        <w:t>Province</w:t>
      </w:r>
      <w:r w:rsidRPr="00251E90">
        <w:rPr>
          <w:rFonts w:ascii="Arial" w:hAnsi="Arial"/>
          <w:sz w:val="20"/>
          <w:szCs w:val="20"/>
          <w:lang w:val="fr-FR"/>
        </w:rPr>
        <w:t>s. D’où la nécessité d</w:t>
      </w:r>
      <w:r w:rsidR="00F5234A" w:rsidRPr="00251E90">
        <w:rPr>
          <w:rFonts w:ascii="Arial" w:hAnsi="Arial"/>
          <w:sz w:val="20"/>
          <w:szCs w:val="20"/>
          <w:lang w:val="fr-FR"/>
        </w:rPr>
        <w:t>’ajustements</w:t>
      </w:r>
      <w:r w:rsidRPr="00251E90">
        <w:rPr>
          <w:rFonts w:ascii="Arial" w:hAnsi="Arial"/>
          <w:sz w:val="20"/>
          <w:szCs w:val="20"/>
          <w:lang w:val="fr-FR"/>
        </w:rPr>
        <w:t xml:space="preserve"> apportés aux modalités du programme durant les deux dernières décennies. </w:t>
      </w:r>
    </w:p>
    <w:p w:rsidR="003731FB" w:rsidRDefault="00334CF1" w:rsidP="003731FB">
      <w:pPr>
        <w:ind w:firstLine="708"/>
        <w:jc w:val="both"/>
        <w:rPr>
          <w:rFonts w:ascii="Arial" w:hAnsi="Arial"/>
          <w:sz w:val="20"/>
          <w:szCs w:val="20"/>
          <w:lang w:val="fr-FR"/>
        </w:rPr>
      </w:pPr>
      <w:r w:rsidRPr="00251E90">
        <w:rPr>
          <w:rFonts w:ascii="Arial" w:hAnsi="Arial"/>
          <w:sz w:val="20"/>
          <w:szCs w:val="20"/>
          <w:lang w:val="fr-FR"/>
        </w:rPr>
        <w:t>Trois critiques sont adressées au mécanisme de péréquation</w:t>
      </w:r>
      <w:r w:rsidR="003731FB">
        <w:rPr>
          <w:rFonts w:ascii="Arial" w:hAnsi="Arial"/>
          <w:sz w:val="20"/>
          <w:szCs w:val="20"/>
          <w:lang w:val="fr-FR"/>
        </w:rPr>
        <w:t> :</w:t>
      </w:r>
      <w:r w:rsidRPr="00251E90">
        <w:rPr>
          <w:rFonts w:ascii="Arial" w:hAnsi="Arial"/>
          <w:sz w:val="20"/>
          <w:szCs w:val="20"/>
          <w:lang w:val="fr-FR"/>
        </w:rPr>
        <w:t xml:space="preserve"> </w:t>
      </w:r>
    </w:p>
    <w:p w:rsidR="003731FB" w:rsidRDefault="00334CF1" w:rsidP="003731FB">
      <w:pPr>
        <w:pStyle w:val="ListParagraph"/>
        <w:numPr>
          <w:ilvl w:val="0"/>
          <w:numId w:val="5"/>
        </w:numPr>
        <w:jc w:val="both"/>
        <w:rPr>
          <w:rFonts w:ascii="Arial" w:hAnsi="Arial"/>
          <w:sz w:val="20"/>
          <w:szCs w:val="20"/>
          <w:lang w:val="fr-FR"/>
        </w:rPr>
      </w:pPr>
      <w:r w:rsidRPr="003731FB">
        <w:rPr>
          <w:rFonts w:ascii="Arial" w:hAnsi="Arial"/>
          <w:sz w:val="20"/>
          <w:szCs w:val="20"/>
          <w:lang w:val="fr-FR"/>
        </w:rPr>
        <w:t xml:space="preserve">Certains prétendent qu’il accable l’économie des </w:t>
      </w:r>
      <w:r w:rsidR="00251E90" w:rsidRPr="003731FB">
        <w:rPr>
          <w:rFonts w:ascii="Arial" w:hAnsi="Arial"/>
          <w:sz w:val="20"/>
          <w:szCs w:val="20"/>
          <w:lang w:val="fr-FR"/>
        </w:rPr>
        <w:t>Province</w:t>
      </w:r>
      <w:r w:rsidRPr="003731FB">
        <w:rPr>
          <w:rFonts w:ascii="Arial" w:hAnsi="Arial"/>
          <w:sz w:val="20"/>
          <w:szCs w:val="20"/>
          <w:lang w:val="fr-FR"/>
        </w:rPr>
        <w:t xml:space="preserve">s dites productives et crée un sentiment de dépendance pour les </w:t>
      </w:r>
      <w:r w:rsidR="00251E90" w:rsidRPr="003731FB">
        <w:rPr>
          <w:rFonts w:ascii="Arial" w:hAnsi="Arial"/>
          <w:sz w:val="20"/>
          <w:szCs w:val="20"/>
          <w:lang w:val="fr-FR"/>
        </w:rPr>
        <w:t>Province</w:t>
      </w:r>
      <w:r w:rsidRPr="003731FB">
        <w:rPr>
          <w:rFonts w:ascii="Arial" w:hAnsi="Arial"/>
          <w:sz w:val="20"/>
          <w:szCs w:val="20"/>
          <w:lang w:val="fr-FR"/>
        </w:rPr>
        <w:t xml:space="preserve">s bénéficiaires. </w:t>
      </w:r>
    </w:p>
    <w:p w:rsidR="003731FB" w:rsidRDefault="00334CF1" w:rsidP="003731FB">
      <w:pPr>
        <w:pStyle w:val="ListParagraph"/>
        <w:numPr>
          <w:ilvl w:val="0"/>
          <w:numId w:val="5"/>
        </w:numPr>
        <w:jc w:val="both"/>
        <w:rPr>
          <w:rFonts w:ascii="Arial" w:hAnsi="Arial"/>
          <w:sz w:val="20"/>
          <w:szCs w:val="20"/>
          <w:lang w:val="fr-FR"/>
        </w:rPr>
      </w:pPr>
      <w:r w:rsidRPr="003731FB">
        <w:rPr>
          <w:rFonts w:ascii="Arial" w:hAnsi="Arial"/>
          <w:sz w:val="20"/>
          <w:szCs w:val="20"/>
          <w:lang w:val="fr-FR"/>
        </w:rPr>
        <w:t>D’autres croient que la formule ne serait pas suffisamment généreuse envers certaines d’entre</w:t>
      </w:r>
      <w:r w:rsidR="000A7776" w:rsidRPr="003731FB">
        <w:rPr>
          <w:rFonts w:ascii="Arial" w:hAnsi="Arial"/>
          <w:sz w:val="20"/>
          <w:szCs w:val="20"/>
          <w:lang w:val="fr-FR"/>
        </w:rPr>
        <w:t xml:space="preserve"> </w:t>
      </w:r>
      <w:r w:rsidRPr="003731FB">
        <w:rPr>
          <w:rFonts w:ascii="Arial" w:hAnsi="Arial"/>
          <w:sz w:val="20"/>
          <w:szCs w:val="20"/>
          <w:lang w:val="fr-FR"/>
        </w:rPr>
        <w:t>elles</w:t>
      </w:r>
      <w:r w:rsidR="000A7776" w:rsidRPr="003731FB">
        <w:rPr>
          <w:rFonts w:ascii="Arial" w:hAnsi="Arial"/>
          <w:sz w:val="20"/>
          <w:szCs w:val="20"/>
          <w:lang w:val="fr-FR"/>
        </w:rPr>
        <w:t>,</w:t>
      </w:r>
      <w:r w:rsidRPr="003731FB">
        <w:rPr>
          <w:rFonts w:ascii="Arial" w:hAnsi="Arial"/>
          <w:sz w:val="20"/>
          <w:szCs w:val="20"/>
          <w:lang w:val="fr-FR"/>
        </w:rPr>
        <w:t xml:space="preserve"> notamment l’Ontario, aujourd’hui victime de la récession de 2008 et du déclin de son secteur manufacturier</w:t>
      </w:r>
      <w:r w:rsidR="000A7776" w:rsidRPr="003731FB">
        <w:rPr>
          <w:rFonts w:ascii="Arial" w:hAnsi="Arial"/>
          <w:sz w:val="20"/>
          <w:szCs w:val="20"/>
          <w:lang w:val="fr-FR"/>
        </w:rPr>
        <w:t>,</w:t>
      </w:r>
      <w:r w:rsidRPr="003731FB">
        <w:rPr>
          <w:rFonts w:ascii="Arial" w:hAnsi="Arial"/>
          <w:sz w:val="20"/>
          <w:szCs w:val="20"/>
          <w:lang w:val="fr-FR"/>
        </w:rPr>
        <w:t xml:space="preserve"> malgré son rôle historique stabilisateur du régime de péréquation canadien. </w:t>
      </w:r>
    </w:p>
    <w:p w:rsidR="00334CF1" w:rsidRPr="003731FB" w:rsidRDefault="00334CF1" w:rsidP="003731FB">
      <w:pPr>
        <w:pStyle w:val="ListParagraph"/>
        <w:numPr>
          <w:ilvl w:val="0"/>
          <w:numId w:val="5"/>
        </w:numPr>
        <w:jc w:val="both"/>
        <w:rPr>
          <w:rFonts w:ascii="Arial" w:hAnsi="Arial"/>
          <w:sz w:val="20"/>
          <w:szCs w:val="20"/>
          <w:lang w:val="fr-FR"/>
        </w:rPr>
      </w:pPr>
      <w:r w:rsidRPr="003731FB">
        <w:rPr>
          <w:rFonts w:ascii="Arial" w:hAnsi="Arial"/>
          <w:sz w:val="20"/>
          <w:szCs w:val="20"/>
          <w:lang w:val="fr-FR"/>
        </w:rPr>
        <w:t>Enfin, on a aussi souligné les disparités du co</w:t>
      </w:r>
      <w:r w:rsidR="000A7776" w:rsidRPr="003731FB">
        <w:rPr>
          <w:rFonts w:ascii="Arial" w:hAnsi="Arial"/>
          <w:sz w:val="20"/>
          <w:szCs w:val="20"/>
          <w:lang w:val="fr-FR"/>
        </w:rPr>
        <w:t>û</w:t>
      </w:r>
      <w:r w:rsidRPr="003731FB">
        <w:rPr>
          <w:rFonts w:ascii="Arial" w:hAnsi="Arial"/>
          <w:sz w:val="20"/>
          <w:szCs w:val="20"/>
          <w:lang w:val="fr-FR"/>
        </w:rPr>
        <w:t xml:space="preserve">t de la vie et celles relatives au régime de travail pour critiquer le niveau de paiement </w:t>
      </w:r>
      <w:r w:rsidR="00F5234A" w:rsidRPr="003731FB">
        <w:rPr>
          <w:rFonts w:ascii="Arial" w:hAnsi="Arial"/>
          <w:sz w:val="20"/>
          <w:szCs w:val="20"/>
          <w:lang w:val="fr-FR"/>
        </w:rPr>
        <w:t xml:space="preserve">consenti </w:t>
      </w:r>
      <w:r w:rsidRPr="003731FB">
        <w:rPr>
          <w:rFonts w:ascii="Arial" w:hAnsi="Arial"/>
          <w:sz w:val="20"/>
          <w:szCs w:val="20"/>
          <w:lang w:val="fr-FR"/>
        </w:rPr>
        <w:t xml:space="preserve">à certaines </w:t>
      </w:r>
      <w:r w:rsidR="00251E90" w:rsidRPr="003731FB">
        <w:rPr>
          <w:rFonts w:ascii="Arial" w:hAnsi="Arial"/>
          <w:sz w:val="20"/>
          <w:szCs w:val="20"/>
          <w:lang w:val="fr-FR"/>
        </w:rPr>
        <w:t>Province</w:t>
      </w:r>
      <w:r w:rsidRPr="003731FB">
        <w:rPr>
          <w:rFonts w:ascii="Arial" w:hAnsi="Arial"/>
          <w:sz w:val="20"/>
          <w:szCs w:val="20"/>
          <w:lang w:val="fr-FR"/>
        </w:rPr>
        <w:t xml:space="preserve">s bénéficiaires. </w:t>
      </w:r>
    </w:p>
    <w:p w:rsidR="00334CF1" w:rsidRPr="00251E90" w:rsidRDefault="00334CF1" w:rsidP="003731FB">
      <w:pPr>
        <w:ind w:firstLine="708"/>
        <w:jc w:val="both"/>
        <w:rPr>
          <w:rFonts w:ascii="Arial" w:hAnsi="Arial"/>
          <w:sz w:val="20"/>
          <w:szCs w:val="20"/>
          <w:lang w:val="fr-FR"/>
        </w:rPr>
      </w:pPr>
      <w:r w:rsidRPr="00251E90">
        <w:rPr>
          <w:rFonts w:ascii="Arial" w:hAnsi="Arial"/>
          <w:sz w:val="20"/>
          <w:szCs w:val="20"/>
          <w:lang w:val="fr-FR"/>
        </w:rPr>
        <w:t xml:space="preserve">Enfin, l’épineuse question des disparités créées dans les assiettes fiscales provinciales par l’inclusion ou non des revenus liés aux ressources naturelles dans la formule de péréquation est aussi en constante délibération. Avec leur inclusion, les </w:t>
      </w:r>
      <w:r w:rsidR="00251E90" w:rsidRPr="00251E90">
        <w:rPr>
          <w:rFonts w:ascii="Arial" w:hAnsi="Arial"/>
          <w:sz w:val="20"/>
          <w:szCs w:val="20"/>
          <w:lang w:val="fr-FR"/>
        </w:rPr>
        <w:t>Province</w:t>
      </w:r>
      <w:r w:rsidRPr="00251E90">
        <w:rPr>
          <w:rFonts w:ascii="Arial" w:hAnsi="Arial"/>
          <w:sz w:val="20"/>
          <w:szCs w:val="20"/>
          <w:lang w:val="fr-FR"/>
        </w:rPr>
        <w:t>s connaissant une augmentation de leurs revenus provenant des ressources naturelles verraient cette augmentation être contrebalancée par une diminution de leur</w:t>
      </w:r>
      <w:r w:rsidR="000A7776">
        <w:rPr>
          <w:rFonts w:ascii="Arial" w:hAnsi="Arial"/>
          <w:sz w:val="20"/>
          <w:szCs w:val="20"/>
          <w:lang w:val="fr-FR"/>
        </w:rPr>
        <w:t>s</w:t>
      </w:r>
      <w:r w:rsidRPr="00251E90">
        <w:rPr>
          <w:rFonts w:ascii="Arial" w:hAnsi="Arial"/>
          <w:sz w:val="20"/>
          <w:szCs w:val="20"/>
          <w:lang w:val="fr-FR"/>
        </w:rPr>
        <w:t xml:space="preserve"> paiements de péréquation. Elles ne se retrouveraient donc pas dans une meilleure situation que si elles n’avaient aucun revenu de ressources naturelles et auraient conséquemment pas d’incitatif économique à les développer. </w:t>
      </w:r>
    </w:p>
    <w:p w:rsidR="00334CF1" w:rsidRPr="00251E90" w:rsidRDefault="00334CF1" w:rsidP="00251E90">
      <w:pPr>
        <w:jc w:val="both"/>
        <w:rPr>
          <w:rFonts w:ascii="Arial" w:hAnsi="Arial"/>
          <w:sz w:val="20"/>
          <w:szCs w:val="20"/>
          <w:lang w:val="fr-FR"/>
        </w:rPr>
      </w:pPr>
      <w:r w:rsidRPr="00251E90">
        <w:rPr>
          <w:rFonts w:ascii="Arial" w:hAnsi="Arial"/>
          <w:b/>
          <w:sz w:val="20"/>
          <w:szCs w:val="20"/>
          <w:lang w:val="fr-FR"/>
        </w:rPr>
        <w:t>La réforme de 2007</w:t>
      </w:r>
    </w:p>
    <w:p w:rsidR="00334CF1" w:rsidRPr="00251E90" w:rsidRDefault="00334CF1" w:rsidP="003731FB">
      <w:pPr>
        <w:ind w:firstLine="708"/>
        <w:jc w:val="both"/>
        <w:rPr>
          <w:rFonts w:ascii="Arial" w:hAnsi="Arial"/>
          <w:sz w:val="20"/>
          <w:szCs w:val="20"/>
          <w:lang w:val="fr-FR"/>
        </w:rPr>
      </w:pPr>
      <w:r w:rsidRPr="00251E90">
        <w:rPr>
          <w:rFonts w:ascii="Arial" w:hAnsi="Arial"/>
          <w:sz w:val="20"/>
          <w:szCs w:val="20"/>
          <w:lang w:val="fr-FR"/>
        </w:rPr>
        <w:t xml:space="preserve">Prenant en compte cet éventail de critiques, le gouvernement fédéral </w:t>
      </w:r>
      <w:r w:rsidRPr="00251E90">
        <w:rPr>
          <w:rFonts w:ascii="Arial" w:hAnsi="Arial"/>
          <w:color w:val="000000"/>
          <w:sz w:val="20"/>
          <w:szCs w:val="20"/>
          <w:lang w:val="fr-FR"/>
        </w:rPr>
        <w:t>a adopté, en 2007, la plupart des recommandations énoncées dans le rapport du Groupe d’experts.</w:t>
      </w:r>
      <w:r w:rsidRPr="00251E90">
        <w:rPr>
          <w:rFonts w:ascii="Arial" w:hAnsi="Arial"/>
          <w:sz w:val="20"/>
          <w:szCs w:val="20"/>
          <w:lang w:val="fr-FR"/>
        </w:rPr>
        <w:t xml:space="preserve"> Faisant face à un ralentissement économique, il a annoncé, l’année suiv</w:t>
      </w:r>
      <w:r w:rsidR="00F5234A" w:rsidRPr="00251E90">
        <w:rPr>
          <w:rFonts w:ascii="Arial" w:hAnsi="Arial"/>
          <w:sz w:val="20"/>
          <w:szCs w:val="20"/>
          <w:lang w:val="fr-FR"/>
        </w:rPr>
        <w:t>ante, son intention de plafonner les coûts du programme de péréquation dès l’exercice financier 2009-2010.</w:t>
      </w:r>
      <w:r w:rsidRPr="00251E90">
        <w:rPr>
          <w:rFonts w:ascii="Arial" w:hAnsi="Arial"/>
          <w:sz w:val="20"/>
          <w:szCs w:val="20"/>
          <w:lang w:val="fr-FR"/>
        </w:rPr>
        <w:t xml:space="preserve"> Nous vivons présentement sous ce régime qui peut se décliner comme suit : </w:t>
      </w:r>
    </w:p>
    <w:p w:rsidR="00334CF1" w:rsidRPr="003731FB" w:rsidRDefault="00334CF1" w:rsidP="003731FB">
      <w:pPr>
        <w:pStyle w:val="ListParagraph"/>
        <w:numPr>
          <w:ilvl w:val="0"/>
          <w:numId w:val="6"/>
        </w:numPr>
        <w:jc w:val="both"/>
        <w:rPr>
          <w:rFonts w:ascii="Arial" w:hAnsi="Arial"/>
          <w:b/>
          <w:bCs/>
          <w:sz w:val="20"/>
          <w:szCs w:val="20"/>
          <w:lang w:val="fr-FR"/>
        </w:rPr>
      </w:pPr>
      <w:bookmarkStart w:id="0" w:name="_GoBack"/>
      <w:r w:rsidRPr="003731FB">
        <w:rPr>
          <w:rFonts w:ascii="Arial" w:hAnsi="Arial"/>
          <w:b/>
          <w:bCs/>
          <w:sz w:val="20"/>
          <w:szCs w:val="20"/>
          <w:lang w:val="fr-FR"/>
        </w:rPr>
        <w:t>Premièrement,</w:t>
      </w:r>
      <w:r w:rsidRPr="003731FB">
        <w:rPr>
          <w:rFonts w:ascii="Arial" w:hAnsi="Arial"/>
          <w:sz w:val="20"/>
          <w:szCs w:val="20"/>
          <w:lang w:val="fr-FR"/>
        </w:rPr>
        <w:t xml:space="preserve"> </w:t>
      </w:r>
      <w:r w:rsidRPr="003731FB">
        <w:rPr>
          <w:rFonts w:ascii="Arial" w:hAnsi="Arial"/>
          <w:b/>
          <w:sz w:val="20"/>
          <w:szCs w:val="20"/>
          <w:lang w:val="fr-FR"/>
        </w:rPr>
        <w:t>rejet de</w:t>
      </w:r>
      <w:r w:rsidRPr="003731FB">
        <w:rPr>
          <w:rFonts w:ascii="Arial" w:hAnsi="Arial"/>
          <w:sz w:val="20"/>
          <w:szCs w:val="20"/>
          <w:lang w:val="fr-FR"/>
        </w:rPr>
        <w:t xml:space="preserve"> </w:t>
      </w:r>
      <w:r w:rsidRPr="003731FB">
        <w:rPr>
          <w:rFonts w:ascii="Arial" w:hAnsi="Arial"/>
          <w:b/>
          <w:bCs/>
          <w:sz w:val="20"/>
          <w:szCs w:val="20"/>
          <w:lang w:val="fr-FR"/>
        </w:rPr>
        <w:t xml:space="preserve">la notion d’enveloppe fixe, formule qui irait à l’encontre de la nature fondamentale de la péréquation. </w:t>
      </w:r>
    </w:p>
    <w:p w:rsidR="00334CF1" w:rsidRPr="003731FB" w:rsidRDefault="00334CF1" w:rsidP="003731FB">
      <w:pPr>
        <w:pStyle w:val="ListParagraph"/>
        <w:numPr>
          <w:ilvl w:val="0"/>
          <w:numId w:val="6"/>
        </w:numPr>
        <w:jc w:val="both"/>
        <w:rPr>
          <w:rFonts w:ascii="Arial" w:hAnsi="Arial"/>
          <w:sz w:val="20"/>
          <w:szCs w:val="20"/>
          <w:lang w:val="fr-FR"/>
        </w:rPr>
      </w:pPr>
      <w:r w:rsidRPr="003731FB">
        <w:rPr>
          <w:rFonts w:ascii="Arial" w:hAnsi="Arial"/>
          <w:b/>
          <w:bCs/>
          <w:sz w:val="20"/>
          <w:szCs w:val="20"/>
          <w:lang w:val="fr-FR"/>
        </w:rPr>
        <w:lastRenderedPageBreak/>
        <w:t>Deuxièm</w:t>
      </w:r>
      <w:r w:rsidR="0050011B" w:rsidRPr="003731FB">
        <w:rPr>
          <w:rFonts w:ascii="Arial" w:hAnsi="Arial"/>
          <w:b/>
          <w:bCs/>
          <w:sz w:val="20"/>
          <w:szCs w:val="20"/>
          <w:lang w:val="fr-FR"/>
        </w:rPr>
        <w:t>ement, adoption d’une norme pour</w:t>
      </w:r>
      <w:r w:rsidRPr="003731FB">
        <w:rPr>
          <w:rFonts w:ascii="Arial" w:hAnsi="Arial"/>
          <w:b/>
          <w:bCs/>
          <w:sz w:val="20"/>
          <w:szCs w:val="20"/>
          <w:lang w:val="fr-FR"/>
        </w:rPr>
        <w:t xml:space="preserve"> </w:t>
      </w:r>
      <w:r w:rsidR="00F5234A" w:rsidRPr="003731FB">
        <w:rPr>
          <w:rFonts w:ascii="Arial" w:hAnsi="Arial"/>
          <w:b/>
          <w:bCs/>
          <w:sz w:val="20"/>
          <w:szCs w:val="20"/>
          <w:lang w:val="fr-FR"/>
        </w:rPr>
        <w:t>fixer une moyenne de référence</w:t>
      </w:r>
      <w:r w:rsidRPr="003731FB">
        <w:rPr>
          <w:rFonts w:ascii="Arial" w:hAnsi="Arial"/>
          <w:b/>
          <w:bCs/>
          <w:sz w:val="20"/>
          <w:szCs w:val="20"/>
          <w:lang w:val="fr-FR"/>
        </w:rPr>
        <w:t xml:space="preserve"> établie à partir des revenus des dix </w:t>
      </w:r>
      <w:r w:rsidR="00251E90" w:rsidRPr="003731FB">
        <w:rPr>
          <w:rFonts w:ascii="Arial" w:hAnsi="Arial"/>
          <w:b/>
          <w:bCs/>
          <w:sz w:val="20"/>
          <w:szCs w:val="20"/>
          <w:lang w:val="fr-FR"/>
        </w:rPr>
        <w:t>Province</w:t>
      </w:r>
      <w:r w:rsidRPr="003731FB">
        <w:rPr>
          <w:rFonts w:ascii="Arial" w:hAnsi="Arial"/>
          <w:b/>
          <w:bCs/>
          <w:sz w:val="20"/>
          <w:szCs w:val="20"/>
          <w:lang w:val="fr-FR"/>
        </w:rPr>
        <w:t>s</w:t>
      </w:r>
      <w:r w:rsidRPr="00251E90">
        <w:rPr>
          <w:rStyle w:val="FootnoteReference"/>
          <w:rFonts w:ascii="Arial" w:hAnsi="Arial"/>
          <w:b/>
          <w:bCs/>
          <w:sz w:val="20"/>
          <w:szCs w:val="20"/>
          <w:lang w:val="fr-FR"/>
        </w:rPr>
        <w:footnoteReference w:id="7"/>
      </w:r>
      <w:r w:rsidRPr="003731FB">
        <w:rPr>
          <w:rFonts w:ascii="Arial" w:hAnsi="Arial"/>
          <w:b/>
          <w:bCs/>
          <w:sz w:val="20"/>
          <w:szCs w:val="20"/>
          <w:lang w:val="fr-FR"/>
        </w:rPr>
        <w:t xml:space="preserve"> afin qu’elle reflète fidèlement les disparités financières et la diversité réelle du pays</w:t>
      </w:r>
      <w:r w:rsidRPr="000A7776">
        <w:rPr>
          <w:rStyle w:val="FootnoteReference"/>
          <w:rFonts w:ascii="Arial" w:hAnsi="Arial"/>
          <w:bCs/>
          <w:sz w:val="20"/>
          <w:szCs w:val="20"/>
          <w:lang w:val="fr-FR"/>
        </w:rPr>
        <w:footnoteReference w:id="8"/>
      </w:r>
      <w:r w:rsidR="000A7776" w:rsidRPr="003731FB">
        <w:rPr>
          <w:rFonts w:ascii="Arial" w:hAnsi="Arial"/>
          <w:b/>
          <w:bCs/>
          <w:sz w:val="20"/>
          <w:szCs w:val="20"/>
          <w:lang w:val="fr-FR"/>
        </w:rPr>
        <w:t>.</w:t>
      </w:r>
      <w:r w:rsidRPr="003731FB">
        <w:rPr>
          <w:rFonts w:ascii="Arial" w:hAnsi="Arial"/>
          <w:sz w:val="20"/>
          <w:szCs w:val="20"/>
          <w:lang w:val="fr-FR"/>
        </w:rPr>
        <w:t xml:space="preserve"> </w:t>
      </w:r>
    </w:p>
    <w:p w:rsidR="00334CF1" w:rsidRPr="003731FB" w:rsidRDefault="00334CF1" w:rsidP="003731FB">
      <w:pPr>
        <w:pStyle w:val="ListParagraph"/>
        <w:numPr>
          <w:ilvl w:val="0"/>
          <w:numId w:val="6"/>
        </w:numPr>
        <w:jc w:val="both"/>
        <w:rPr>
          <w:rFonts w:ascii="Arial" w:hAnsi="Arial"/>
          <w:sz w:val="20"/>
          <w:szCs w:val="20"/>
          <w:lang w:val="fr-FR"/>
        </w:rPr>
      </w:pPr>
      <w:r w:rsidRPr="003731FB">
        <w:rPr>
          <w:rFonts w:ascii="Arial" w:hAnsi="Arial"/>
          <w:b/>
          <w:sz w:val="20"/>
          <w:szCs w:val="20"/>
          <w:lang w:val="fr-FR"/>
        </w:rPr>
        <w:t>Troisièmement,</w:t>
      </w:r>
      <w:r w:rsidR="00F5234A" w:rsidRPr="003731FB">
        <w:rPr>
          <w:rFonts w:ascii="Arial" w:hAnsi="Arial"/>
          <w:b/>
          <w:bCs/>
          <w:sz w:val="20"/>
          <w:szCs w:val="20"/>
          <w:lang w:val="fr-FR"/>
        </w:rPr>
        <w:t xml:space="preserve"> les paiements de</w:t>
      </w:r>
      <w:r w:rsidRPr="003731FB">
        <w:rPr>
          <w:rFonts w:ascii="Arial" w:hAnsi="Arial"/>
          <w:sz w:val="20"/>
          <w:szCs w:val="20"/>
          <w:lang w:val="fr-FR"/>
        </w:rPr>
        <w:t xml:space="preserve"> </w:t>
      </w:r>
      <w:r w:rsidRPr="003731FB">
        <w:rPr>
          <w:rFonts w:ascii="Arial" w:hAnsi="Arial"/>
          <w:b/>
          <w:bCs/>
          <w:sz w:val="20"/>
          <w:szCs w:val="20"/>
          <w:lang w:val="fr-FR"/>
        </w:rPr>
        <w:t xml:space="preserve">péréquation </w:t>
      </w:r>
      <w:r w:rsidR="00F5234A" w:rsidRPr="003731FB">
        <w:rPr>
          <w:rFonts w:ascii="Arial" w:hAnsi="Arial"/>
          <w:b/>
          <w:bCs/>
          <w:sz w:val="20"/>
          <w:szCs w:val="20"/>
          <w:lang w:val="fr-FR"/>
        </w:rPr>
        <w:t>sont établis par rapport à</w:t>
      </w:r>
      <w:r w:rsidRPr="003731FB">
        <w:rPr>
          <w:rFonts w:ascii="Arial" w:hAnsi="Arial"/>
          <w:b/>
          <w:bCs/>
          <w:sz w:val="20"/>
          <w:szCs w:val="20"/>
          <w:lang w:val="fr-FR"/>
        </w:rPr>
        <w:t xml:space="preserve"> la capacité fiscale des différentes </w:t>
      </w:r>
      <w:r w:rsidR="00251E90" w:rsidRPr="003731FB">
        <w:rPr>
          <w:rFonts w:ascii="Arial" w:hAnsi="Arial"/>
          <w:b/>
          <w:bCs/>
          <w:sz w:val="20"/>
          <w:szCs w:val="20"/>
          <w:lang w:val="fr-FR"/>
        </w:rPr>
        <w:t>Province</w:t>
      </w:r>
      <w:r w:rsidRPr="003731FB">
        <w:rPr>
          <w:rFonts w:ascii="Arial" w:hAnsi="Arial"/>
          <w:b/>
          <w:bCs/>
          <w:sz w:val="20"/>
          <w:szCs w:val="20"/>
          <w:lang w:val="fr-FR"/>
        </w:rPr>
        <w:t xml:space="preserve">s et non sur </w:t>
      </w:r>
      <w:r w:rsidR="000A7776" w:rsidRPr="003731FB">
        <w:rPr>
          <w:rFonts w:ascii="Arial" w:hAnsi="Arial"/>
          <w:b/>
          <w:bCs/>
          <w:sz w:val="20"/>
          <w:szCs w:val="20"/>
          <w:lang w:val="fr-FR"/>
        </w:rPr>
        <w:t xml:space="preserve">la base de </w:t>
      </w:r>
      <w:r w:rsidRPr="003731FB">
        <w:rPr>
          <w:rFonts w:ascii="Arial" w:hAnsi="Arial"/>
          <w:b/>
          <w:bCs/>
          <w:sz w:val="20"/>
          <w:szCs w:val="20"/>
          <w:lang w:val="fr-FR"/>
        </w:rPr>
        <w:t>l’évaluation de leurs besoins en dépenses</w:t>
      </w:r>
      <w:r w:rsidRPr="003731FB">
        <w:rPr>
          <w:rFonts w:ascii="Arial" w:hAnsi="Arial"/>
          <w:sz w:val="20"/>
          <w:szCs w:val="20"/>
          <w:lang w:val="fr-FR"/>
        </w:rPr>
        <w:t xml:space="preserve">.  </w:t>
      </w:r>
    </w:p>
    <w:p w:rsidR="00334CF1" w:rsidRPr="003731FB" w:rsidRDefault="00334CF1" w:rsidP="003731FB">
      <w:pPr>
        <w:pStyle w:val="ListParagraph"/>
        <w:numPr>
          <w:ilvl w:val="0"/>
          <w:numId w:val="6"/>
        </w:numPr>
        <w:jc w:val="both"/>
        <w:rPr>
          <w:rFonts w:ascii="Arial" w:hAnsi="Arial"/>
          <w:color w:val="231916"/>
          <w:sz w:val="20"/>
          <w:szCs w:val="20"/>
          <w:lang w:val="fr-FR"/>
        </w:rPr>
      </w:pPr>
      <w:r w:rsidRPr="003731FB">
        <w:rPr>
          <w:rFonts w:ascii="Arial" w:hAnsi="Arial"/>
          <w:b/>
          <w:bCs/>
          <w:sz w:val="20"/>
          <w:szCs w:val="20"/>
          <w:lang w:val="fr-FR"/>
        </w:rPr>
        <w:t>Quatrièm</w:t>
      </w:r>
      <w:r w:rsidR="0050011B" w:rsidRPr="003731FB">
        <w:rPr>
          <w:rFonts w:ascii="Arial" w:hAnsi="Arial"/>
          <w:b/>
          <w:bCs/>
          <w:sz w:val="20"/>
          <w:szCs w:val="20"/>
          <w:lang w:val="fr-FR"/>
        </w:rPr>
        <w:t>ement, la part des revenus tirée</w:t>
      </w:r>
      <w:r w:rsidRPr="003731FB">
        <w:rPr>
          <w:rFonts w:ascii="Arial" w:hAnsi="Arial"/>
          <w:b/>
          <w:bCs/>
          <w:sz w:val="20"/>
          <w:szCs w:val="20"/>
          <w:lang w:val="fr-FR"/>
        </w:rPr>
        <w:t xml:space="preserve"> des ressources naturelles dans le calcul des capaci</w:t>
      </w:r>
      <w:r w:rsidR="00F5234A" w:rsidRPr="003731FB">
        <w:rPr>
          <w:rFonts w:ascii="Arial" w:hAnsi="Arial"/>
          <w:b/>
          <w:bCs/>
          <w:sz w:val="20"/>
          <w:szCs w:val="20"/>
          <w:lang w:val="fr-FR"/>
        </w:rPr>
        <w:t xml:space="preserve">tés fiscales de chaque </w:t>
      </w:r>
      <w:r w:rsidR="00251E90" w:rsidRPr="003731FB">
        <w:rPr>
          <w:rFonts w:ascii="Arial" w:hAnsi="Arial"/>
          <w:b/>
          <w:bCs/>
          <w:sz w:val="20"/>
          <w:szCs w:val="20"/>
          <w:lang w:val="fr-FR"/>
        </w:rPr>
        <w:t>Province</w:t>
      </w:r>
      <w:r w:rsidR="00F5234A" w:rsidRPr="003731FB">
        <w:rPr>
          <w:rFonts w:ascii="Arial" w:hAnsi="Arial"/>
          <w:b/>
          <w:bCs/>
          <w:sz w:val="20"/>
          <w:szCs w:val="20"/>
          <w:lang w:val="fr-FR"/>
        </w:rPr>
        <w:t xml:space="preserve"> est fixé</w:t>
      </w:r>
      <w:r w:rsidR="000A7776" w:rsidRPr="003731FB">
        <w:rPr>
          <w:rFonts w:ascii="Arial" w:hAnsi="Arial"/>
          <w:b/>
          <w:bCs/>
          <w:sz w:val="20"/>
          <w:szCs w:val="20"/>
          <w:lang w:val="fr-FR"/>
        </w:rPr>
        <w:t>e</w:t>
      </w:r>
      <w:r w:rsidR="00F5234A" w:rsidRPr="003731FB">
        <w:rPr>
          <w:rFonts w:ascii="Arial" w:hAnsi="Arial"/>
          <w:b/>
          <w:bCs/>
          <w:sz w:val="20"/>
          <w:szCs w:val="20"/>
          <w:lang w:val="fr-FR"/>
        </w:rPr>
        <w:t xml:space="preserve"> à 50</w:t>
      </w:r>
      <w:r w:rsidR="000A7776" w:rsidRPr="003731FB">
        <w:rPr>
          <w:rFonts w:ascii="Arial" w:hAnsi="Arial"/>
          <w:b/>
          <w:bCs/>
          <w:sz w:val="20"/>
          <w:szCs w:val="20"/>
          <w:lang w:val="fr-FR"/>
        </w:rPr>
        <w:t> </w:t>
      </w:r>
      <w:r w:rsidR="00F5234A" w:rsidRPr="003731FB">
        <w:rPr>
          <w:rFonts w:ascii="Arial" w:hAnsi="Arial"/>
          <w:b/>
          <w:bCs/>
          <w:sz w:val="20"/>
          <w:szCs w:val="20"/>
          <w:lang w:val="fr-FR"/>
        </w:rPr>
        <w:t>% de ces revenus.</w:t>
      </w:r>
      <w:r w:rsidRPr="003731FB">
        <w:rPr>
          <w:rFonts w:ascii="Arial" w:hAnsi="Arial"/>
          <w:b/>
          <w:bCs/>
          <w:sz w:val="20"/>
          <w:szCs w:val="20"/>
          <w:lang w:val="fr-FR"/>
        </w:rPr>
        <w:t xml:space="preserve"> </w:t>
      </w:r>
      <w:r w:rsidRPr="003731FB">
        <w:rPr>
          <w:rFonts w:ascii="Arial" w:eastAsia="Wingdings-Regular" w:hAnsi="Arial"/>
          <w:sz w:val="20"/>
          <w:szCs w:val="20"/>
          <w:lang w:val="fr-FR"/>
        </w:rPr>
        <w:t xml:space="preserve">Qualifiée de solution intermédiaire, ce choix réaffirme à la fois le principe que le programme de péréquation ne devrait pas soustraire </w:t>
      </w:r>
      <w:r w:rsidRPr="003731FB">
        <w:rPr>
          <w:rFonts w:ascii="Arial" w:hAnsi="Arial"/>
          <w:sz w:val="20"/>
          <w:szCs w:val="20"/>
          <w:lang w:val="fr-FR"/>
        </w:rPr>
        <w:t xml:space="preserve">aux </w:t>
      </w:r>
      <w:r w:rsidR="00251E90" w:rsidRPr="003731FB">
        <w:rPr>
          <w:rFonts w:ascii="Arial" w:hAnsi="Arial"/>
          <w:sz w:val="20"/>
          <w:szCs w:val="20"/>
          <w:lang w:val="fr-FR"/>
        </w:rPr>
        <w:t>Province</w:t>
      </w:r>
      <w:r w:rsidRPr="003731FB">
        <w:rPr>
          <w:rFonts w:ascii="Arial" w:hAnsi="Arial"/>
          <w:sz w:val="20"/>
          <w:szCs w:val="20"/>
          <w:lang w:val="fr-FR"/>
        </w:rPr>
        <w:t xml:space="preserve">s leur droit de tirer le maximum d’avantages de leurs ressources naturelles (elles en sont propriétaires après tout en vertu de la </w:t>
      </w:r>
      <w:r w:rsidR="00312F81" w:rsidRPr="003731FB">
        <w:rPr>
          <w:rFonts w:ascii="Arial" w:hAnsi="Arial"/>
          <w:sz w:val="20"/>
          <w:szCs w:val="20"/>
          <w:lang w:val="fr-FR"/>
        </w:rPr>
        <w:t>C</w:t>
      </w:r>
      <w:r w:rsidRPr="003731FB">
        <w:rPr>
          <w:rFonts w:ascii="Arial" w:hAnsi="Arial"/>
          <w:sz w:val="20"/>
          <w:szCs w:val="20"/>
          <w:lang w:val="fr-FR"/>
        </w:rPr>
        <w:t>onstitution canadienne), mais qu’</w:t>
      </w:r>
      <w:r w:rsidRPr="003731FB">
        <w:rPr>
          <w:rFonts w:ascii="Arial" w:hAnsi="Arial"/>
          <w:color w:val="231916"/>
          <w:sz w:val="20"/>
          <w:szCs w:val="20"/>
          <w:lang w:val="fr-FR"/>
        </w:rPr>
        <w:t xml:space="preserve">il conviendrait d’inclure tout de même une partie des revenus des ressources naturelles de toutes provenances sans exception parce qu’ils contribuent sensiblement à renforcer l’économie et à financer les services publics d’une </w:t>
      </w:r>
      <w:r w:rsidR="00251E90" w:rsidRPr="003731FB">
        <w:rPr>
          <w:rFonts w:ascii="Arial" w:hAnsi="Arial"/>
          <w:color w:val="231916"/>
          <w:sz w:val="20"/>
          <w:szCs w:val="20"/>
          <w:lang w:val="fr-FR"/>
        </w:rPr>
        <w:t>Province</w:t>
      </w:r>
      <w:r w:rsidRPr="00251E90">
        <w:rPr>
          <w:rStyle w:val="FootnoteReference"/>
          <w:rFonts w:ascii="Arial" w:hAnsi="Arial"/>
          <w:color w:val="231916"/>
          <w:sz w:val="20"/>
          <w:szCs w:val="20"/>
          <w:lang w:val="fr-FR"/>
        </w:rPr>
        <w:footnoteReference w:id="9"/>
      </w:r>
      <w:r w:rsidR="00312F81" w:rsidRPr="003731FB">
        <w:rPr>
          <w:rFonts w:ascii="Arial" w:hAnsi="Arial"/>
          <w:color w:val="231916"/>
          <w:sz w:val="20"/>
          <w:szCs w:val="20"/>
          <w:lang w:val="fr-FR"/>
        </w:rPr>
        <w:t>.</w:t>
      </w:r>
    </w:p>
    <w:p w:rsidR="00334CF1" w:rsidRPr="003731FB" w:rsidRDefault="00334CF1" w:rsidP="003731FB">
      <w:pPr>
        <w:pStyle w:val="ListParagraph"/>
        <w:numPr>
          <w:ilvl w:val="0"/>
          <w:numId w:val="6"/>
        </w:numPr>
        <w:jc w:val="both"/>
        <w:rPr>
          <w:rFonts w:ascii="Arial" w:hAnsi="Arial"/>
          <w:b/>
          <w:bCs/>
          <w:sz w:val="20"/>
          <w:szCs w:val="20"/>
          <w:lang w:val="fr-FR"/>
        </w:rPr>
      </w:pPr>
      <w:r w:rsidRPr="003731FB">
        <w:rPr>
          <w:rFonts w:ascii="Arial" w:eastAsia="Wingdings-Regular" w:hAnsi="Arial"/>
          <w:b/>
          <w:bCs/>
          <w:sz w:val="20"/>
          <w:szCs w:val="20"/>
          <w:lang w:val="fr-FR"/>
        </w:rPr>
        <w:t xml:space="preserve">Cinquièmement, </w:t>
      </w:r>
      <w:r w:rsidRPr="003731FB">
        <w:rPr>
          <w:rFonts w:ascii="Arial" w:hAnsi="Arial"/>
          <w:b/>
          <w:bCs/>
          <w:sz w:val="20"/>
          <w:szCs w:val="20"/>
          <w:lang w:val="fr-FR"/>
        </w:rPr>
        <w:t xml:space="preserve">la mise en place d’un plafond pour </w:t>
      </w:r>
      <w:r w:rsidR="00F5234A" w:rsidRPr="003731FB">
        <w:rPr>
          <w:rFonts w:ascii="Arial" w:hAnsi="Arial"/>
          <w:b/>
          <w:bCs/>
          <w:sz w:val="20"/>
          <w:szCs w:val="20"/>
          <w:lang w:val="fr-FR"/>
        </w:rPr>
        <w:t xml:space="preserve">éviter, par souci d’équité, </w:t>
      </w:r>
      <w:r w:rsidRPr="003731FB">
        <w:rPr>
          <w:rFonts w:ascii="Arial" w:hAnsi="Arial"/>
          <w:b/>
          <w:bCs/>
          <w:sz w:val="20"/>
          <w:szCs w:val="20"/>
          <w:lang w:val="fr-FR"/>
        </w:rPr>
        <w:t xml:space="preserve">qu’une </w:t>
      </w:r>
      <w:r w:rsidR="00251E90" w:rsidRPr="003731FB">
        <w:rPr>
          <w:rFonts w:ascii="Arial" w:hAnsi="Arial"/>
          <w:b/>
          <w:bCs/>
          <w:sz w:val="20"/>
          <w:szCs w:val="20"/>
          <w:lang w:val="fr-FR"/>
        </w:rPr>
        <w:t>Province</w:t>
      </w:r>
      <w:r w:rsidRPr="003731FB">
        <w:rPr>
          <w:rFonts w:ascii="Arial" w:hAnsi="Arial"/>
          <w:b/>
          <w:bCs/>
          <w:sz w:val="20"/>
          <w:szCs w:val="20"/>
          <w:lang w:val="fr-FR"/>
        </w:rPr>
        <w:t xml:space="preserve"> bénéficiaire dispose d’une capacité fiscale supérieure à celle d’une </w:t>
      </w:r>
      <w:r w:rsidR="00251E90" w:rsidRPr="003731FB">
        <w:rPr>
          <w:rFonts w:ascii="Arial" w:hAnsi="Arial"/>
          <w:b/>
          <w:bCs/>
          <w:sz w:val="20"/>
          <w:szCs w:val="20"/>
          <w:lang w:val="fr-FR"/>
        </w:rPr>
        <w:t>Province</w:t>
      </w:r>
      <w:r w:rsidRPr="003731FB">
        <w:rPr>
          <w:rFonts w:ascii="Arial" w:hAnsi="Arial"/>
          <w:b/>
          <w:bCs/>
          <w:sz w:val="20"/>
          <w:szCs w:val="20"/>
          <w:lang w:val="fr-FR"/>
        </w:rPr>
        <w:t xml:space="preserve"> non bénéficiaire</w:t>
      </w:r>
      <w:r w:rsidRPr="00312F81">
        <w:rPr>
          <w:rStyle w:val="FootnoteReference"/>
          <w:rFonts w:ascii="Arial" w:hAnsi="Arial"/>
          <w:bCs/>
          <w:sz w:val="20"/>
          <w:szCs w:val="20"/>
          <w:lang w:val="fr-FR"/>
        </w:rPr>
        <w:footnoteReference w:id="10"/>
      </w:r>
      <w:r w:rsidR="00312F81" w:rsidRPr="003731FB">
        <w:rPr>
          <w:rFonts w:ascii="Arial" w:hAnsi="Arial"/>
          <w:b/>
          <w:bCs/>
          <w:sz w:val="20"/>
          <w:szCs w:val="20"/>
          <w:lang w:val="fr-FR"/>
        </w:rPr>
        <w:t>.</w:t>
      </w:r>
      <w:r w:rsidRPr="003731FB">
        <w:rPr>
          <w:rFonts w:ascii="Arial" w:hAnsi="Arial"/>
          <w:b/>
          <w:bCs/>
          <w:sz w:val="20"/>
          <w:szCs w:val="20"/>
          <w:lang w:val="fr-FR"/>
        </w:rPr>
        <w:t xml:space="preserve"> </w:t>
      </w:r>
    </w:p>
    <w:p w:rsidR="00334CF1" w:rsidRPr="003731FB" w:rsidRDefault="00334CF1" w:rsidP="003731FB">
      <w:pPr>
        <w:pStyle w:val="ListParagraph"/>
        <w:numPr>
          <w:ilvl w:val="0"/>
          <w:numId w:val="6"/>
        </w:numPr>
        <w:jc w:val="both"/>
        <w:rPr>
          <w:rFonts w:ascii="Arial" w:hAnsi="Arial"/>
          <w:sz w:val="20"/>
          <w:szCs w:val="20"/>
          <w:lang w:val="fr-FR"/>
        </w:rPr>
      </w:pPr>
      <w:r w:rsidRPr="003731FB">
        <w:rPr>
          <w:rFonts w:ascii="Arial" w:eastAsia="Wingdings-Regular" w:hAnsi="Arial"/>
          <w:b/>
          <w:bCs/>
          <w:sz w:val="20"/>
          <w:szCs w:val="20"/>
          <w:lang w:val="fr-FR"/>
        </w:rPr>
        <w:t xml:space="preserve">Sixièmement, </w:t>
      </w:r>
      <w:r w:rsidRPr="003731FB">
        <w:rPr>
          <w:rFonts w:ascii="Arial" w:hAnsi="Arial"/>
          <w:b/>
          <w:bCs/>
          <w:sz w:val="20"/>
          <w:szCs w:val="20"/>
          <w:lang w:val="fr-FR"/>
        </w:rPr>
        <w:t xml:space="preserve">le calcul de la capacité fiscale des </w:t>
      </w:r>
      <w:r w:rsidR="00251E90" w:rsidRPr="003731FB">
        <w:rPr>
          <w:rFonts w:ascii="Arial" w:hAnsi="Arial"/>
          <w:b/>
          <w:bCs/>
          <w:sz w:val="20"/>
          <w:szCs w:val="20"/>
          <w:lang w:val="fr-FR"/>
        </w:rPr>
        <w:t>Province</w:t>
      </w:r>
      <w:r w:rsidRPr="003731FB">
        <w:rPr>
          <w:rFonts w:ascii="Arial" w:hAnsi="Arial"/>
          <w:b/>
          <w:bCs/>
          <w:sz w:val="20"/>
          <w:szCs w:val="20"/>
          <w:lang w:val="fr-FR"/>
        </w:rPr>
        <w:t>s se base sur une moyenne pondérée mobile de trois ans et de données décalées de deux ans</w:t>
      </w:r>
      <w:r w:rsidRPr="003731FB">
        <w:rPr>
          <w:rFonts w:ascii="Arial" w:hAnsi="Arial"/>
          <w:b/>
          <w:bCs/>
          <w:color w:val="231916"/>
          <w:sz w:val="20"/>
          <w:szCs w:val="20"/>
          <w:lang w:val="fr-FR"/>
        </w:rPr>
        <w:t xml:space="preserve"> pour atténuer l’impact des variations annuelles. </w:t>
      </w:r>
      <w:r w:rsidRPr="003731FB">
        <w:rPr>
          <w:rFonts w:ascii="Arial" w:hAnsi="Arial"/>
          <w:sz w:val="20"/>
          <w:szCs w:val="20"/>
          <w:lang w:val="fr-FR"/>
        </w:rPr>
        <w:t xml:space="preserve">Ce régime adopté en 2007 a renforcé les maillons les plus faibles de l’ancienne formule, </w:t>
      </w:r>
      <w:r w:rsidR="008F645E" w:rsidRPr="003731FB">
        <w:rPr>
          <w:rFonts w:ascii="Arial" w:hAnsi="Arial"/>
          <w:sz w:val="20"/>
          <w:szCs w:val="20"/>
          <w:lang w:val="fr-FR"/>
        </w:rPr>
        <w:t>mais</w:t>
      </w:r>
      <w:r w:rsidRPr="003731FB">
        <w:rPr>
          <w:rFonts w:ascii="Arial" w:hAnsi="Arial"/>
          <w:sz w:val="20"/>
          <w:szCs w:val="20"/>
          <w:lang w:val="fr-FR"/>
        </w:rPr>
        <w:t xml:space="preserve"> la problématique des ressources n</w:t>
      </w:r>
      <w:r w:rsidR="008F645E" w:rsidRPr="003731FB">
        <w:rPr>
          <w:rFonts w:ascii="Arial" w:hAnsi="Arial"/>
          <w:sz w:val="20"/>
          <w:szCs w:val="20"/>
          <w:lang w:val="fr-FR"/>
        </w:rPr>
        <w:t>aturelles demeure bien vivante</w:t>
      </w:r>
      <w:r w:rsidRPr="003731FB">
        <w:rPr>
          <w:rFonts w:ascii="Arial" w:hAnsi="Arial"/>
          <w:sz w:val="20"/>
          <w:szCs w:val="20"/>
          <w:lang w:val="fr-FR"/>
        </w:rPr>
        <w:t xml:space="preserve"> à cause de la répartition géographique de ces dernières. L’entrée en jeu de l’Ontario en tant que </w:t>
      </w:r>
      <w:r w:rsidR="00251E90" w:rsidRPr="003731FB">
        <w:rPr>
          <w:rFonts w:ascii="Arial" w:hAnsi="Arial"/>
          <w:sz w:val="20"/>
          <w:szCs w:val="20"/>
          <w:lang w:val="fr-FR"/>
        </w:rPr>
        <w:t>Province</w:t>
      </w:r>
      <w:r w:rsidRPr="003731FB">
        <w:rPr>
          <w:rFonts w:ascii="Arial" w:hAnsi="Arial"/>
          <w:sz w:val="20"/>
          <w:szCs w:val="20"/>
          <w:lang w:val="fr-FR"/>
        </w:rPr>
        <w:t xml:space="preserve"> bénéficiaire du programme de péréquation a toutefois précipité des modifications à une formule que plusieurs croyaient, depuis la publication du rapport du Groupe d’experts, être dorénavant à l’abri de pressions politiques.</w:t>
      </w:r>
    </w:p>
    <w:bookmarkEnd w:id="0"/>
    <w:p w:rsidR="00334CF1" w:rsidRPr="00251E90" w:rsidRDefault="00334CF1" w:rsidP="00251E90">
      <w:pPr>
        <w:jc w:val="both"/>
        <w:rPr>
          <w:rFonts w:ascii="Arial" w:hAnsi="Arial"/>
          <w:sz w:val="20"/>
          <w:szCs w:val="20"/>
          <w:lang w:val="fr-FR"/>
        </w:rPr>
      </w:pPr>
      <w:r w:rsidRPr="00251E90">
        <w:rPr>
          <w:rFonts w:ascii="Arial" w:hAnsi="Arial"/>
          <w:sz w:val="20"/>
          <w:szCs w:val="20"/>
          <w:lang w:val="fr-FR"/>
        </w:rPr>
        <w:t>Ces analyses critiques ne modifient en rien la philosophie du mécanisme</w:t>
      </w:r>
      <w:r w:rsidR="008F645E" w:rsidRPr="00251E90">
        <w:rPr>
          <w:rFonts w:ascii="Arial" w:hAnsi="Arial"/>
          <w:sz w:val="20"/>
          <w:szCs w:val="20"/>
          <w:lang w:val="fr-FR"/>
        </w:rPr>
        <w:t xml:space="preserve"> canadien</w:t>
      </w:r>
      <w:r w:rsidRPr="00251E90">
        <w:rPr>
          <w:rFonts w:ascii="Arial" w:hAnsi="Arial"/>
          <w:sz w:val="20"/>
          <w:szCs w:val="20"/>
          <w:lang w:val="fr-FR"/>
        </w:rPr>
        <w:t xml:space="preserve"> de péréquation et ses composantes : </w:t>
      </w:r>
    </w:p>
    <w:p w:rsidR="00334CF1" w:rsidRPr="00312F81" w:rsidRDefault="00334CF1" w:rsidP="00312F81">
      <w:pPr>
        <w:pStyle w:val="ListParagraph"/>
        <w:numPr>
          <w:ilvl w:val="0"/>
          <w:numId w:val="2"/>
        </w:numPr>
        <w:jc w:val="both"/>
        <w:rPr>
          <w:rFonts w:ascii="Arial" w:hAnsi="Arial"/>
          <w:sz w:val="20"/>
          <w:szCs w:val="20"/>
          <w:lang w:val="fr-FR"/>
        </w:rPr>
      </w:pPr>
      <w:r w:rsidRPr="00312F81">
        <w:rPr>
          <w:rFonts w:ascii="Arial" w:hAnsi="Arial"/>
          <w:sz w:val="20"/>
          <w:szCs w:val="20"/>
          <w:lang w:val="fr-FR"/>
        </w:rPr>
        <w:t>consentement à l’idée et à la réalité de partage des ressources financières entre les ordres de gouvernements</w:t>
      </w:r>
      <w:r w:rsidR="00312F81">
        <w:rPr>
          <w:rFonts w:ascii="Arial" w:hAnsi="Arial"/>
          <w:sz w:val="20"/>
          <w:szCs w:val="20"/>
          <w:lang w:val="fr-FR"/>
        </w:rPr>
        <w:t> </w:t>
      </w:r>
      <w:r w:rsidRPr="00312F81">
        <w:rPr>
          <w:rFonts w:ascii="Arial" w:hAnsi="Arial"/>
          <w:sz w:val="20"/>
          <w:szCs w:val="20"/>
          <w:lang w:val="fr-FR"/>
        </w:rPr>
        <w:t xml:space="preserve">; </w:t>
      </w:r>
    </w:p>
    <w:p w:rsidR="00334CF1" w:rsidRPr="00312F81" w:rsidRDefault="00334CF1" w:rsidP="00312F81">
      <w:pPr>
        <w:pStyle w:val="ListParagraph"/>
        <w:numPr>
          <w:ilvl w:val="0"/>
          <w:numId w:val="2"/>
        </w:numPr>
        <w:jc w:val="both"/>
        <w:rPr>
          <w:rFonts w:ascii="Arial" w:hAnsi="Arial"/>
          <w:sz w:val="20"/>
          <w:szCs w:val="20"/>
          <w:lang w:val="fr-FR"/>
        </w:rPr>
      </w:pPr>
      <w:r w:rsidRPr="00312F81">
        <w:rPr>
          <w:rFonts w:ascii="Arial" w:hAnsi="Arial"/>
          <w:sz w:val="20"/>
          <w:szCs w:val="20"/>
          <w:lang w:val="fr-FR"/>
        </w:rPr>
        <w:t>inclusion de toute</w:t>
      </w:r>
      <w:r w:rsidR="00312F81">
        <w:rPr>
          <w:rFonts w:ascii="Arial" w:hAnsi="Arial"/>
          <w:sz w:val="20"/>
          <w:szCs w:val="20"/>
          <w:lang w:val="fr-FR"/>
        </w:rPr>
        <w:t>s</w:t>
      </w:r>
      <w:r w:rsidRPr="00312F81">
        <w:rPr>
          <w:rFonts w:ascii="Arial" w:hAnsi="Arial"/>
          <w:sz w:val="20"/>
          <w:szCs w:val="20"/>
          <w:lang w:val="fr-FR"/>
        </w:rPr>
        <w:t xml:space="preserve"> les entités fédérées comme partenaires bénéficiaires ou non du mécanisme</w:t>
      </w:r>
      <w:r w:rsidR="00312F81">
        <w:rPr>
          <w:rFonts w:ascii="Arial" w:hAnsi="Arial"/>
          <w:sz w:val="20"/>
          <w:szCs w:val="20"/>
          <w:lang w:val="fr-FR"/>
        </w:rPr>
        <w:t> </w:t>
      </w:r>
      <w:r w:rsidR="0050011B" w:rsidRPr="00312F81">
        <w:rPr>
          <w:rFonts w:ascii="Arial" w:hAnsi="Arial"/>
          <w:sz w:val="20"/>
          <w:szCs w:val="20"/>
          <w:lang w:val="fr-FR"/>
        </w:rPr>
        <w:t xml:space="preserve">; </w:t>
      </w:r>
      <w:r w:rsidRPr="00312F81">
        <w:rPr>
          <w:rFonts w:ascii="Arial" w:hAnsi="Arial"/>
          <w:sz w:val="20"/>
          <w:szCs w:val="20"/>
          <w:lang w:val="fr-FR"/>
        </w:rPr>
        <w:t xml:space="preserve"> </w:t>
      </w:r>
    </w:p>
    <w:p w:rsidR="00334CF1" w:rsidRPr="00312F81" w:rsidRDefault="00334CF1" w:rsidP="00251E90">
      <w:pPr>
        <w:pStyle w:val="ListParagraph"/>
        <w:numPr>
          <w:ilvl w:val="0"/>
          <w:numId w:val="2"/>
        </w:numPr>
        <w:jc w:val="both"/>
        <w:rPr>
          <w:rFonts w:ascii="Arial" w:hAnsi="Arial"/>
          <w:sz w:val="20"/>
          <w:szCs w:val="20"/>
          <w:lang w:val="fr-FR"/>
        </w:rPr>
      </w:pPr>
      <w:r w:rsidRPr="00312F81">
        <w:rPr>
          <w:rFonts w:ascii="Arial" w:hAnsi="Arial"/>
          <w:sz w:val="20"/>
          <w:szCs w:val="20"/>
          <w:lang w:val="fr-FR"/>
        </w:rPr>
        <w:t>volonté de leur assurer une capacité égale de mettre en œuvre des programmes et services comparables, malgré la disparité de leurs ressources afin que le principe d’égalité des citoyens</w:t>
      </w:r>
      <w:r w:rsidR="008F645E" w:rsidRPr="00312F81">
        <w:rPr>
          <w:rFonts w:ascii="Arial" w:hAnsi="Arial"/>
          <w:sz w:val="20"/>
          <w:szCs w:val="20"/>
          <w:lang w:val="fr-FR"/>
        </w:rPr>
        <w:t>,</w:t>
      </w:r>
      <w:r w:rsidRPr="00312F81">
        <w:rPr>
          <w:rFonts w:ascii="Arial" w:hAnsi="Arial"/>
          <w:sz w:val="20"/>
          <w:szCs w:val="20"/>
          <w:lang w:val="fr-FR"/>
        </w:rPr>
        <w:t xml:space="preserve"> valeur de référence de la </w:t>
      </w:r>
      <w:r w:rsidR="00312F81">
        <w:rPr>
          <w:rFonts w:ascii="Arial" w:hAnsi="Arial"/>
          <w:sz w:val="20"/>
          <w:szCs w:val="20"/>
          <w:lang w:val="fr-FR"/>
        </w:rPr>
        <w:t>C</w:t>
      </w:r>
      <w:r w:rsidRPr="00312F81">
        <w:rPr>
          <w:rFonts w:ascii="Arial" w:hAnsi="Arial"/>
          <w:sz w:val="20"/>
          <w:szCs w:val="20"/>
          <w:lang w:val="fr-FR"/>
        </w:rPr>
        <w:t>onstitution canadienne</w:t>
      </w:r>
      <w:r w:rsidR="008F645E" w:rsidRPr="00312F81">
        <w:rPr>
          <w:rFonts w:ascii="Arial" w:hAnsi="Arial"/>
          <w:sz w:val="20"/>
          <w:szCs w:val="20"/>
          <w:lang w:val="fr-FR"/>
        </w:rPr>
        <w:t>, soit mis</w:t>
      </w:r>
      <w:r w:rsidRPr="00312F81">
        <w:rPr>
          <w:rFonts w:ascii="Arial" w:hAnsi="Arial"/>
          <w:sz w:val="20"/>
          <w:szCs w:val="20"/>
          <w:lang w:val="fr-FR"/>
        </w:rPr>
        <w:t xml:space="preserve"> en œuvre </w:t>
      </w:r>
      <w:r w:rsidR="008F645E" w:rsidRPr="00312F81">
        <w:rPr>
          <w:rFonts w:ascii="Arial" w:hAnsi="Arial"/>
          <w:sz w:val="20"/>
          <w:szCs w:val="20"/>
          <w:lang w:val="fr-FR"/>
        </w:rPr>
        <w:t>effectivement.</w:t>
      </w:r>
      <w:r w:rsidRPr="00312F81">
        <w:rPr>
          <w:rFonts w:ascii="Arial" w:hAnsi="Arial"/>
          <w:sz w:val="20"/>
          <w:szCs w:val="20"/>
          <w:lang w:val="fr-FR"/>
        </w:rPr>
        <w:t xml:space="preserve"> </w:t>
      </w:r>
    </w:p>
    <w:p w:rsidR="00312F81" w:rsidRDefault="00312F81" w:rsidP="00251E90">
      <w:pPr>
        <w:jc w:val="both"/>
        <w:rPr>
          <w:rFonts w:ascii="Arial" w:hAnsi="Arial"/>
          <w:b/>
          <w:sz w:val="20"/>
          <w:szCs w:val="20"/>
          <w:lang w:val="fr-FR"/>
        </w:rPr>
      </w:pPr>
    </w:p>
    <w:p w:rsidR="00334CF1" w:rsidRPr="00251E90" w:rsidRDefault="00334CF1" w:rsidP="00251E90">
      <w:pPr>
        <w:jc w:val="both"/>
        <w:rPr>
          <w:rFonts w:ascii="Arial" w:hAnsi="Arial"/>
          <w:b/>
          <w:sz w:val="20"/>
          <w:szCs w:val="20"/>
          <w:lang w:val="fr-FR"/>
        </w:rPr>
      </w:pPr>
      <w:r w:rsidRPr="00251E90">
        <w:rPr>
          <w:rFonts w:ascii="Arial" w:hAnsi="Arial"/>
          <w:b/>
          <w:sz w:val="20"/>
          <w:szCs w:val="20"/>
          <w:lang w:val="fr-FR"/>
        </w:rPr>
        <w:t>La proposition marocaine</w:t>
      </w:r>
      <w:r w:rsidR="00312F81">
        <w:rPr>
          <w:rFonts w:ascii="Arial" w:hAnsi="Arial"/>
          <w:b/>
          <w:sz w:val="20"/>
          <w:szCs w:val="20"/>
          <w:lang w:val="fr-FR"/>
        </w:rPr>
        <w:t xml:space="preserve"> pour l’autonomie de la Région du Sahara</w:t>
      </w:r>
    </w:p>
    <w:p w:rsidR="0052052B" w:rsidRPr="00251E90" w:rsidRDefault="008F645E" w:rsidP="00251E90">
      <w:pPr>
        <w:jc w:val="both"/>
        <w:rPr>
          <w:rFonts w:ascii="Arial" w:hAnsi="Arial"/>
          <w:sz w:val="20"/>
          <w:szCs w:val="20"/>
          <w:lang w:val="fr-FR"/>
        </w:rPr>
      </w:pPr>
      <w:r w:rsidRPr="00251E90">
        <w:rPr>
          <w:rFonts w:ascii="Arial" w:hAnsi="Arial"/>
          <w:sz w:val="20"/>
          <w:szCs w:val="20"/>
          <w:lang w:val="fr-FR"/>
        </w:rPr>
        <w:t>Plusieurs</w:t>
      </w:r>
      <w:r w:rsidR="00334CF1" w:rsidRPr="00251E90">
        <w:rPr>
          <w:rFonts w:ascii="Arial" w:hAnsi="Arial"/>
          <w:sz w:val="20"/>
          <w:szCs w:val="20"/>
          <w:lang w:val="fr-FR"/>
        </w:rPr>
        <w:t xml:space="preserve"> éléments de </w:t>
      </w:r>
      <w:r w:rsidR="002B3056" w:rsidRPr="00251E90">
        <w:rPr>
          <w:rFonts w:ascii="Arial" w:hAnsi="Arial"/>
          <w:sz w:val="20"/>
          <w:szCs w:val="20"/>
          <w:lang w:val="fr-FR"/>
        </w:rPr>
        <w:t xml:space="preserve">l’Initiative marocaine </w:t>
      </w:r>
      <w:r w:rsidR="003343B0" w:rsidRPr="00251E90">
        <w:rPr>
          <w:rFonts w:ascii="Arial" w:hAnsi="Arial"/>
          <w:sz w:val="20"/>
          <w:szCs w:val="20"/>
          <w:lang w:val="fr-FR"/>
        </w:rPr>
        <w:t xml:space="preserve">pour l’autonomie de la Région du Sahara </w:t>
      </w:r>
      <w:r w:rsidRPr="00251E90">
        <w:rPr>
          <w:rFonts w:ascii="Arial" w:hAnsi="Arial"/>
          <w:sz w:val="20"/>
          <w:szCs w:val="20"/>
          <w:lang w:val="fr-FR"/>
        </w:rPr>
        <w:t xml:space="preserve">consacrés à la solidarité et à la péréquation </w:t>
      </w:r>
      <w:r w:rsidR="00334CF1" w:rsidRPr="00251E90">
        <w:rPr>
          <w:rFonts w:ascii="Arial" w:hAnsi="Arial"/>
          <w:sz w:val="20"/>
          <w:szCs w:val="20"/>
          <w:lang w:val="fr-FR"/>
        </w:rPr>
        <w:t>s’inscrive</w:t>
      </w:r>
      <w:r w:rsidR="0052052B" w:rsidRPr="00251E90">
        <w:rPr>
          <w:rFonts w:ascii="Arial" w:hAnsi="Arial"/>
          <w:sz w:val="20"/>
          <w:szCs w:val="20"/>
          <w:lang w:val="fr-FR"/>
        </w:rPr>
        <w:t>nt</w:t>
      </w:r>
      <w:r w:rsidR="00334CF1" w:rsidRPr="00251E90">
        <w:rPr>
          <w:rFonts w:ascii="Arial" w:hAnsi="Arial"/>
          <w:sz w:val="20"/>
          <w:szCs w:val="20"/>
          <w:lang w:val="fr-FR"/>
        </w:rPr>
        <w:t xml:space="preserve"> dans une </w:t>
      </w:r>
      <w:r w:rsidR="003343B0" w:rsidRPr="00251E90">
        <w:rPr>
          <w:rFonts w:ascii="Arial" w:hAnsi="Arial"/>
          <w:sz w:val="20"/>
          <w:szCs w:val="20"/>
          <w:lang w:val="fr-FR"/>
        </w:rPr>
        <w:t xml:space="preserve">arborescence constitutionnelle et politique </w:t>
      </w:r>
      <w:r w:rsidR="00334CF1" w:rsidRPr="00251E90">
        <w:rPr>
          <w:rFonts w:ascii="Arial" w:hAnsi="Arial"/>
          <w:sz w:val="20"/>
          <w:szCs w:val="20"/>
          <w:lang w:val="fr-FR"/>
        </w:rPr>
        <w:t>voisine de celle prévalant au Canada :</w:t>
      </w:r>
    </w:p>
    <w:p w:rsidR="008F645E" w:rsidRPr="00312F81" w:rsidRDefault="00312F81" w:rsidP="00312F81">
      <w:pPr>
        <w:pStyle w:val="ListParagraph"/>
        <w:numPr>
          <w:ilvl w:val="0"/>
          <w:numId w:val="3"/>
        </w:numPr>
        <w:jc w:val="both"/>
        <w:rPr>
          <w:rFonts w:ascii="Arial" w:hAnsi="Arial"/>
          <w:sz w:val="20"/>
          <w:szCs w:val="20"/>
          <w:lang w:val="fr-FR"/>
        </w:rPr>
      </w:pPr>
      <w:r>
        <w:rPr>
          <w:rFonts w:ascii="Arial" w:hAnsi="Arial"/>
          <w:sz w:val="20"/>
          <w:szCs w:val="20"/>
          <w:lang w:val="fr-FR"/>
        </w:rPr>
        <w:t xml:space="preserve">la </w:t>
      </w:r>
      <w:r w:rsidRPr="00312F81">
        <w:rPr>
          <w:rFonts w:ascii="Arial" w:hAnsi="Arial"/>
          <w:sz w:val="20"/>
          <w:szCs w:val="20"/>
          <w:lang w:val="fr-FR"/>
        </w:rPr>
        <w:t>r</w:t>
      </w:r>
      <w:r w:rsidR="008F645E" w:rsidRPr="00312F81">
        <w:rPr>
          <w:rFonts w:ascii="Arial" w:hAnsi="Arial"/>
          <w:sz w:val="20"/>
          <w:szCs w:val="20"/>
          <w:lang w:val="fr-FR"/>
        </w:rPr>
        <w:t xml:space="preserve">econnaissance d’unités territoriales et politiques  autonomes </w:t>
      </w:r>
      <w:r w:rsidR="0052052B" w:rsidRPr="00312F81">
        <w:rPr>
          <w:rFonts w:ascii="Arial" w:hAnsi="Arial"/>
          <w:sz w:val="20"/>
          <w:szCs w:val="20"/>
          <w:lang w:val="fr-FR"/>
        </w:rPr>
        <w:t>au sein de l’</w:t>
      </w:r>
      <w:r w:rsidR="00251E90" w:rsidRPr="00312F81">
        <w:rPr>
          <w:rFonts w:ascii="Arial" w:hAnsi="Arial"/>
          <w:sz w:val="20"/>
          <w:szCs w:val="20"/>
          <w:lang w:val="fr-FR"/>
        </w:rPr>
        <w:t xml:space="preserve">État </w:t>
      </w:r>
      <w:r w:rsidR="008F645E" w:rsidRPr="00312F81">
        <w:rPr>
          <w:rFonts w:ascii="Arial" w:hAnsi="Arial"/>
          <w:sz w:val="20"/>
          <w:szCs w:val="20"/>
          <w:lang w:val="fr-FR"/>
        </w:rPr>
        <w:t>;</w:t>
      </w:r>
    </w:p>
    <w:p w:rsidR="0052052B" w:rsidRPr="00312F81" w:rsidRDefault="00312F81" w:rsidP="00312F81">
      <w:pPr>
        <w:pStyle w:val="ListParagraph"/>
        <w:numPr>
          <w:ilvl w:val="0"/>
          <w:numId w:val="3"/>
        </w:numPr>
        <w:jc w:val="both"/>
        <w:rPr>
          <w:rFonts w:ascii="Arial" w:hAnsi="Arial"/>
          <w:sz w:val="20"/>
          <w:szCs w:val="20"/>
          <w:lang w:val="fr-FR"/>
        </w:rPr>
      </w:pPr>
      <w:r>
        <w:rPr>
          <w:rFonts w:ascii="Arial" w:hAnsi="Arial"/>
          <w:sz w:val="20"/>
          <w:szCs w:val="20"/>
          <w:lang w:val="fr-FR"/>
        </w:rPr>
        <w:t xml:space="preserve">un </w:t>
      </w:r>
      <w:r w:rsidRPr="00312F81">
        <w:rPr>
          <w:rFonts w:ascii="Arial" w:hAnsi="Arial"/>
          <w:sz w:val="20"/>
          <w:szCs w:val="20"/>
          <w:lang w:val="fr-FR"/>
        </w:rPr>
        <w:t>p</w:t>
      </w:r>
      <w:r w:rsidR="0052052B" w:rsidRPr="00312F81">
        <w:rPr>
          <w:rFonts w:ascii="Arial" w:hAnsi="Arial"/>
          <w:sz w:val="20"/>
          <w:szCs w:val="20"/>
          <w:lang w:val="fr-FR"/>
        </w:rPr>
        <w:t>artage des compétences et des ressources publiques</w:t>
      </w:r>
      <w:r w:rsidR="008F645E" w:rsidRPr="00312F81">
        <w:rPr>
          <w:rFonts w:ascii="Arial" w:hAnsi="Arial"/>
          <w:sz w:val="20"/>
          <w:szCs w:val="20"/>
          <w:lang w:val="fr-FR"/>
        </w:rPr>
        <w:t xml:space="preserve"> entre ces </w:t>
      </w:r>
      <w:r w:rsidR="00C41055" w:rsidRPr="00312F81">
        <w:rPr>
          <w:rFonts w:ascii="Arial" w:hAnsi="Arial"/>
          <w:sz w:val="20"/>
          <w:szCs w:val="20"/>
          <w:lang w:val="fr-FR"/>
        </w:rPr>
        <w:t>divers niveaux de pouvoir</w:t>
      </w:r>
      <w:r w:rsidR="008F645E" w:rsidRPr="00312F81">
        <w:rPr>
          <w:rFonts w:ascii="Arial" w:hAnsi="Arial"/>
          <w:sz w:val="20"/>
          <w:szCs w:val="20"/>
          <w:lang w:val="fr-FR"/>
        </w:rPr>
        <w:t xml:space="preserve"> </w:t>
      </w:r>
      <w:r w:rsidR="0052052B" w:rsidRPr="00312F81">
        <w:rPr>
          <w:rFonts w:ascii="Arial" w:hAnsi="Arial"/>
          <w:sz w:val="20"/>
          <w:szCs w:val="20"/>
          <w:lang w:val="fr-FR"/>
        </w:rPr>
        <w:t>;</w:t>
      </w:r>
    </w:p>
    <w:p w:rsidR="0052052B" w:rsidRPr="00312F81" w:rsidRDefault="00312F81" w:rsidP="00312F81">
      <w:pPr>
        <w:pStyle w:val="ListParagraph"/>
        <w:numPr>
          <w:ilvl w:val="0"/>
          <w:numId w:val="3"/>
        </w:numPr>
        <w:jc w:val="both"/>
        <w:rPr>
          <w:rFonts w:ascii="Arial" w:hAnsi="Arial"/>
          <w:sz w:val="20"/>
          <w:szCs w:val="20"/>
          <w:lang w:val="fr-FR"/>
        </w:rPr>
      </w:pPr>
      <w:r>
        <w:rPr>
          <w:rFonts w:ascii="Arial" w:hAnsi="Arial"/>
          <w:sz w:val="20"/>
          <w:szCs w:val="20"/>
          <w:lang w:val="fr-FR"/>
        </w:rPr>
        <w:t>l’</w:t>
      </w:r>
      <w:r w:rsidRPr="00312F81">
        <w:rPr>
          <w:rFonts w:ascii="Arial" w:hAnsi="Arial"/>
          <w:sz w:val="20"/>
          <w:szCs w:val="20"/>
          <w:lang w:val="fr-FR"/>
        </w:rPr>
        <w:t>i</w:t>
      </w:r>
      <w:r w:rsidR="00964E96" w:rsidRPr="00312F81">
        <w:rPr>
          <w:rFonts w:ascii="Arial" w:hAnsi="Arial"/>
          <w:sz w:val="20"/>
          <w:szCs w:val="20"/>
          <w:lang w:val="fr-FR"/>
        </w:rPr>
        <w:t xml:space="preserve">dentification </w:t>
      </w:r>
      <w:r w:rsidR="00C41055" w:rsidRPr="00312F81">
        <w:rPr>
          <w:rFonts w:ascii="Arial" w:hAnsi="Arial"/>
          <w:sz w:val="20"/>
          <w:szCs w:val="20"/>
          <w:lang w:val="fr-FR"/>
        </w:rPr>
        <w:t>des compétences des deux ordres de gouvernement</w:t>
      </w:r>
      <w:r>
        <w:rPr>
          <w:rFonts w:ascii="Arial" w:hAnsi="Arial"/>
          <w:sz w:val="20"/>
          <w:szCs w:val="20"/>
          <w:lang w:val="fr-FR"/>
        </w:rPr>
        <w:t>,</w:t>
      </w:r>
      <w:r w:rsidR="00C41055" w:rsidRPr="00312F81">
        <w:rPr>
          <w:rFonts w:ascii="Arial" w:hAnsi="Arial"/>
          <w:sz w:val="20"/>
          <w:szCs w:val="20"/>
          <w:lang w:val="fr-FR"/>
        </w:rPr>
        <w:t xml:space="preserve"> donc des</w:t>
      </w:r>
      <w:r w:rsidR="00334CF1" w:rsidRPr="00312F81">
        <w:rPr>
          <w:rFonts w:ascii="Arial" w:hAnsi="Arial"/>
          <w:sz w:val="20"/>
          <w:szCs w:val="20"/>
          <w:lang w:val="fr-FR"/>
        </w:rPr>
        <w:t xml:space="preserve"> compétence</w:t>
      </w:r>
      <w:r w:rsidR="007A554C" w:rsidRPr="00312F81">
        <w:rPr>
          <w:rFonts w:ascii="Arial" w:hAnsi="Arial"/>
          <w:sz w:val="20"/>
          <w:szCs w:val="20"/>
          <w:lang w:val="fr-FR"/>
        </w:rPr>
        <w:t xml:space="preserve">s de la </w:t>
      </w:r>
      <w:r>
        <w:rPr>
          <w:rFonts w:ascii="Arial" w:hAnsi="Arial"/>
          <w:sz w:val="20"/>
          <w:szCs w:val="20"/>
          <w:lang w:val="fr-FR"/>
        </w:rPr>
        <w:t>R</w:t>
      </w:r>
      <w:r w:rsidR="007A554C" w:rsidRPr="00312F81">
        <w:rPr>
          <w:rFonts w:ascii="Arial" w:hAnsi="Arial"/>
          <w:sz w:val="20"/>
          <w:szCs w:val="20"/>
          <w:lang w:val="fr-FR"/>
        </w:rPr>
        <w:t xml:space="preserve">égion </w:t>
      </w:r>
      <w:r w:rsidR="003343B0" w:rsidRPr="00312F81">
        <w:rPr>
          <w:rFonts w:ascii="Arial" w:hAnsi="Arial"/>
          <w:sz w:val="20"/>
          <w:szCs w:val="20"/>
          <w:lang w:val="fr-FR"/>
        </w:rPr>
        <w:t xml:space="preserve">autonome du Sahara </w:t>
      </w:r>
      <w:r w:rsidR="002B3056" w:rsidRPr="00312F81">
        <w:rPr>
          <w:rFonts w:ascii="Arial" w:hAnsi="Arial"/>
          <w:sz w:val="20"/>
          <w:szCs w:val="20"/>
          <w:lang w:val="fr-FR"/>
        </w:rPr>
        <w:t>tel</w:t>
      </w:r>
      <w:r>
        <w:rPr>
          <w:rFonts w:ascii="Arial" w:hAnsi="Arial"/>
          <w:sz w:val="20"/>
          <w:szCs w:val="20"/>
          <w:lang w:val="fr-FR"/>
        </w:rPr>
        <w:t>les</w:t>
      </w:r>
      <w:r w:rsidR="002B3056" w:rsidRPr="00312F81">
        <w:rPr>
          <w:rFonts w:ascii="Arial" w:hAnsi="Arial"/>
          <w:sz w:val="20"/>
          <w:szCs w:val="20"/>
          <w:lang w:val="fr-FR"/>
        </w:rPr>
        <w:t xml:space="preserve"> qu</w:t>
      </w:r>
      <w:r w:rsidR="003343B0" w:rsidRPr="00312F81">
        <w:rPr>
          <w:rFonts w:ascii="Arial" w:hAnsi="Arial"/>
          <w:sz w:val="20"/>
          <w:szCs w:val="20"/>
          <w:lang w:val="fr-FR"/>
        </w:rPr>
        <w:t>’établies</w:t>
      </w:r>
      <w:r w:rsidR="002B3056" w:rsidRPr="00312F81">
        <w:rPr>
          <w:rFonts w:ascii="Arial" w:hAnsi="Arial"/>
          <w:sz w:val="20"/>
          <w:szCs w:val="20"/>
          <w:lang w:val="fr-FR"/>
        </w:rPr>
        <w:t xml:space="preserve"> dans l</w:t>
      </w:r>
      <w:r w:rsidR="003343B0" w:rsidRPr="00312F81">
        <w:rPr>
          <w:rFonts w:ascii="Arial" w:hAnsi="Arial"/>
          <w:sz w:val="20"/>
          <w:szCs w:val="20"/>
          <w:lang w:val="fr-FR"/>
        </w:rPr>
        <w:t>e texte de l</w:t>
      </w:r>
      <w:r w:rsidR="002B3056" w:rsidRPr="00312F81">
        <w:rPr>
          <w:rFonts w:ascii="Arial" w:hAnsi="Arial"/>
          <w:sz w:val="20"/>
          <w:szCs w:val="20"/>
          <w:lang w:val="fr-FR"/>
        </w:rPr>
        <w:t>’Initiative</w:t>
      </w:r>
      <w:r>
        <w:rPr>
          <w:rFonts w:ascii="Arial" w:hAnsi="Arial"/>
          <w:sz w:val="20"/>
          <w:szCs w:val="20"/>
          <w:lang w:val="fr-FR"/>
        </w:rPr>
        <w:t>,</w:t>
      </w:r>
      <w:r w:rsidR="002B3056" w:rsidRPr="00312F81">
        <w:rPr>
          <w:rFonts w:ascii="Arial" w:hAnsi="Arial"/>
          <w:sz w:val="20"/>
          <w:szCs w:val="20"/>
          <w:lang w:val="fr-FR"/>
        </w:rPr>
        <w:t xml:space="preserve"> comprenant notamment les </w:t>
      </w:r>
      <w:r w:rsidR="002B3056" w:rsidRPr="00312F81">
        <w:rPr>
          <w:rFonts w:ascii="Arial" w:hAnsi="Arial"/>
          <w:sz w:val="20"/>
          <w:szCs w:val="20"/>
          <w:lang w:val="fr-FR"/>
        </w:rPr>
        <w:lastRenderedPageBreak/>
        <w:t>institutions</w:t>
      </w:r>
      <w:r w:rsidR="00C41055" w:rsidRPr="00312F81">
        <w:rPr>
          <w:rFonts w:ascii="Arial" w:hAnsi="Arial"/>
          <w:sz w:val="20"/>
          <w:szCs w:val="20"/>
          <w:lang w:val="fr-FR"/>
        </w:rPr>
        <w:t xml:space="preserve"> régionales</w:t>
      </w:r>
      <w:r w:rsidR="002B3056" w:rsidRPr="00312F81">
        <w:rPr>
          <w:rFonts w:ascii="Arial" w:hAnsi="Arial"/>
          <w:sz w:val="20"/>
          <w:szCs w:val="20"/>
          <w:lang w:val="fr-FR"/>
        </w:rPr>
        <w:t>, le</w:t>
      </w:r>
      <w:r w:rsidR="007A554C" w:rsidRPr="00312F81">
        <w:rPr>
          <w:rFonts w:ascii="Arial" w:hAnsi="Arial"/>
          <w:sz w:val="20"/>
          <w:szCs w:val="20"/>
          <w:lang w:val="fr-FR"/>
        </w:rPr>
        <w:t xml:space="preserve"> développement économique</w:t>
      </w:r>
      <w:r w:rsidR="002B3056" w:rsidRPr="00312F81">
        <w:rPr>
          <w:rFonts w:ascii="Arial" w:hAnsi="Arial"/>
          <w:sz w:val="20"/>
          <w:szCs w:val="20"/>
          <w:lang w:val="fr-FR"/>
        </w:rPr>
        <w:t xml:space="preserve"> et la planification régionale, les infrastructures, l</w:t>
      </w:r>
      <w:r w:rsidR="007A554C" w:rsidRPr="00312F81">
        <w:rPr>
          <w:rFonts w:ascii="Arial" w:hAnsi="Arial"/>
          <w:sz w:val="20"/>
          <w:szCs w:val="20"/>
          <w:lang w:val="fr-FR"/>
        </w:rPr>
        <w:t xml:space="preserve">es services, </w:t>
      </w:r>
      <w:r w:rsidR="002B3056" w:rsidRPr="00312F81">
        <w:rPr>
          <w:rFonts w:ascii="Arial" w:hAnsi="Arial"/>
          <w:sz w:val="20"/>
          <w:szCs w:val="20"/>
          <w:lang w:val="fr-FR"/>
        </w:rPr>
        <w:t xml:space="preserve">la </w:t>
      </w:r>
      <w:r w:rsidR="007A554C" w:rsidRPr="00312F81">
        <w:rPr>
          <w:rFonts w:ascii="Arial" w:hAnsi="Arial"/>
          <w:sz w:val="20"/>
          <w:szCs w:val="20"/>
          <w:lang w:val="fr-FR"/>
        </w:rPr>
        <w:t xml:space="preserve">sécurité et </w:t>
      </w:r>
      <w:r w:rsidR="002B3056" w:rsidRPr="00312F81">
        <w:rPr>
          <w:rFonts w:ascii="Arial" w:hAnsi="Arial"/>
          <w:sz w:val="20"/>
          <w:szCs w:val="20"/>
          <w:lang w:val="fr-FR"/>
        </w:rPr>
        <w:t xml:space="preserve">la </w:t>
      </w:r>
      <w:r w:rsidR="007A554C" w:rsidRPr="00312F81">
        <w:rPr>
          <w:rFonts w:ascii="Arial" w:hAnsi="Arial"/>
          <w:sz w:val="20"/>
          <w:szCs w:val="20"/>
          <w:lang w:val="fr-FR"/>
        </w:rPr>
        <w:t>protection sociales et l’environnement</w:t>
      </w:r>
      <w:r>
        <w:rPr>
          <w:rFonts w:ascii="Arial" w:hAnsi="Arial"/>
          <w:sz w:val="20"/>
          <w:szCs w:val="20"/>
          <w:lang w:val="fr-FR"/>
        </w:rPr>
        <w:t> </w:t>
      </w:r>
      <w:r w:rsidR="0052052B" w:rsidRPr="00312F81">
        <w:rPr>
          <w:rFonts w:ascii="Arial" w:hAnsi="Arial"/>
          <w:sz w:val="20"/>
          <w:szCs w:val="20"/>
          <w:lang w:val="fr-FR"/>
        </w:rPr>
        <w:t>;</w:t>
      </w:r>
    </w:p>
    <w:p w:rsidR="00312F81" w:rsidRDefault="00312F81" w:rsidP="00312F81">
      <w:pPr>
        <w:pStyle w:val="ListParagraph"/>
        <w:numPr>
          <w:ilvl w:val="0"/>
          <w:numId w:val="3"/>
        </w:numPr>
        <w:jc w:val="both"/>
        <w:rPr>
          <w:rFonts w:ascii="Arial" w:hAnsi="Arial"/>
          <w:sz w:val="20"/>
          <w:szCs w:val="20"/>
          <w:lang w:val="fr-FR"/>
        </w:rPr>
      </w:pPr>
      <w:r>
        <w:rPr>
          <w:rFonts w:ascii="Arial" w:hAnsi="Arial"/>
          <w:sz w:val="20"/>
          <w:szCs w:val="20"/>
          <w:lang w:val="fr-FR"/>
        </w:rPr>
        <w:t xml:space="preserve">un </w:t>
      </w:r>
      <w:r w:rsidRPr="00312F81">
        <w:rPr>
          <w:rFonts w:ascii="Arial" w:hAnsi="Arial"/>
          <w:sz w:val="20"/>
          <w:szCs w:val="20"/>
          <w:lang w:val="fr-FR"/>
        </w:rPr>
        <w:t>e</w:t>
      </w:r>
      <w:r w:rsidR="002B3056" w:rsidRPr="00312F81">
        <w:rPr>
          <w:rFonts w:ascii="Arial" w:hAnsi="Arial"/>
          <w:sz w:val="20"/>
          <w:szCs w:val="20"/>
          <w:lang w:val="fr-FR"/>
        </w:rPr>
        <w:t xml:space="preserve">ngagement visant à assurer à la </w:t>
      </w:r>
      <w:r>
        <w:rPr>
          <w:rFonts w:ascii="Arial" w:hAnsi="Arial"/>
          <w:sz w:val="20"/>
          <w:szCs w:val="20"/>
          <w:lang w:val="fr-FR"/>
        </w:rPr>
        <w:t>R</w:t>
      </w:r>
      <w:r w:rsidR="002B3056" w:rsidRPr="00312F81">
        <w:rPr>
          <w:rFonts w:ascii="Arial" w:hAnsi="Arial"/>
          <w:sz w:val="20"/>
          <w:szCs w:val="20"/>
          <w:lang w:val="fr-FR"/>
        </w:rPr>
        <w:t xml:space="preserve">égion la disposition des ressources financières </w:t>
      </w:r>
      <w:r w:rsidR="003343B0" w:rsidRPr="00312F81">
        <w:rPr>
          <w:rFonts w:ascii="Arial" w:hAnsi="Arial"/>
          <w:sz w:val="20"/>
          <w:szCs w:val="20"/>
          <w:lang w:val="fr-FR"/>
        </w:rPr>
        <w:t>nécessaires à son développement « dans tous les domaines » et, en conséquence, reconnaissance de sa capacité</w:t>
      </w:r>
      <w:r w:rsidR="00334CF1" w:rsidRPr="00312F81">
        <w:rPr>
          <w:rFonts w:ascii="Arial" w:hAnsi="Arial"/>
          <w:sz w:val="20"/>
          <w:szCs w:val="20"/>
          <w:lang w:val="fr-FR"/>
        </w:rPr>
        <w:t xml:space="preserve"> de lever </w:t>
      </w:r>
      <w:r w:rsidR="002B3056" w:rsidRPr="00312F81">
        <w:rPr>
          <w:rFonts w:ascii="Arial" w:hAnsi="Arial"/>
          <w:sz w:val="20"/>
          <w:szCs w:val="20"/>
          <w:lang w:val="fr-FR"/>
        </w:rPr>
        <w:t>d</w:t>
      </w:r>
      <w:r w:rsidR="007A554C" w:rsidRPr="00312F81">
        <w:rPr>
          <w:rFonts w:ascii="Arial" w:hAnsi="Arial"/>
          <w:sz w:val="20"/>
          <w:szCs w:val="20"/>
          <w:lang w:val="fr-FR"/>
        </w:rPr>
        <w:t>es impôts,</w:t>
      </w:r>
      <w:r w:rsidR="00334CF1" w:rsidRPr="00312F81">
        <w:rPr>
          <w:rFonts w:ascii="Arial" w:hAnsi="Arial"/>
          <w:sz w:val="20"/>
          <w:szCs w:val="20"/>
          <w:lang w:val="fr-FR"/>
        </w:rPr>
        <w:t xml:space="preserve"> taxes </w:t>
      </w:r>
      <w:r w:rsidR="002B3056" w:rsidRPr="00312F81">
        <w:rPr>
          <w:rFonts w:ascii="Arial" w:hAnsi="Arial"/>
          <w:sz w:val="20"/>
          <w:szCs w:val="20"/>
          <w:lang w:val="fr-FR"/>
        </w:rPr>
        <w:t>et contributions territoriales</w:t>
      </w:r>
      <w:r>
        <w:rPr>
          <w:rFonts w:ascii="Arial" w:hAnsi="Arial"/>
          <w:sz w:val="20"/>
          <w:szCs w:val="20"/>
          <w:lang w:val="fr-FR"/>
        </w:rPr>
        <w:t> ;</w:t>
      </w:r>
      <w:r w:rsidR="007307EC" w:rsidRPr="00312F81">
        <w:rPr>
          <w:rFonts w:ascii="Arial" w:hAnsi="Arial"/>
          <w:sz w:val="20"/>
          <w:szCs w:val="20"/>
          <w:lang w:val="fr-FR"/>
        </w:rPr>
        <w:t xml:space="preserve"> </w:t>
      </w:r>
    </w:p>
    <w:p w:rsidR="0052052B" w:rsidRPr="00312F81" w:rsidRDefault="00312F81" w:rsidP="00312F81">
      <w:pPr>
        <w:pStyle w:val="ListParagraph"/>
        <w:numPr>
          <w:ilvl w:val="0"/>
          <w:numId w:val="3"/>
        </w:numPr>
        <w:jc w:val="both"/>
        <w:rPr>
          <w:rFonts w:ascii="Arial" w:hAnsi="Arial"/>
          <w:sz w:val="20"/>
          <w:szCs w:val="20"/>
          <w:lang w:val="fr-FR"/>
        </w:rPr>
      </w:pPr>
      <w:r>
        <w:rPr>
          <w:rFonts w:ascii="Arial" w:hAnsi="Arial"/>
          <w:sz w:val="20"/>
          <w:szCs w:val="20"/>
          <w:lang w:val="fr-FR"/>
        </w:rPr>
        <w:t>la r</w:t>
      </w:r>
      <w:r w:rsidR="007307EC" w:rsidRPr="00312F81">
        <w:rPr>
          <w:rFonts w:ascii="Arial" w:hAnsi="Arial"/>
          <w:sz w:val="20"/>
          <w:szCs w:val="20"/>
          <w:lang w:val="fr-FR"/>
        </w:rPr>
        <w:t xml:space="preserve">econnaissance </w:t>
      </w:r>
      <w:r>
        <w:rPr>
          <w:rFonts w:ascii="Arial" w:hAnsi="Arial"/>
          <w:sz w:val="20"/>
          <w:szCs w:val="20"/>
          <w:lang w:val="fr-FR"/>
        </w:rPr>
        <w:t>enfin</w:t>
      </w:r>
      <w:r w:rsidR="007307EC" w:rsidRPr="00312F81">
        <w:rPr>
          <w:rFonts w:ascii="Arial" w:hAnsi="Arial"/>
          <w:sz w:val="20"/>
          <w:szCs w:val="20"/>
          <w:lang w:val="fr-FR"/>
        </w:rPr>
        <w:t xml:space="preserve"> de son droit à</w:t>
      </w:r>
      <w:r w:rsidR="003343B0" w:rsidRPr="00312F81">
        <w:rPr>
          <w:rFonts w:ascii="Arial" w:hAnsi="Arial"/>
          <w:sz w:val="20"/>
          <w:szCs w:val="20"/>
          <w:lang w:val="fr-FR"/>
        </w:rPr>
        <w:t xml:space="preserve"> bénéficier des revenus de l’exploitation des ressources naturelles affectées à la </w:t>
      </w:r>
      <w:r>
        <w:rPr>
          <w:rFonts w:ascii="Arial" w:hAnsi="Arial"/>
          <w:sz w:val="20"/>
          <w:szCs w:val="20"/>
          <w:lang w:val="fr-FR"/>
        </w:rPr>
        <w:t>R</w:t>
      </w:r>
      <w:r w:rsidR="003343B0" w:rsidRPr="00312F81">
        <w:rPr>
          <w:rFonts w:ascii="Arial" w:hAnsi="Arial"/>
          <w:sz w:val="20"/>
          <w:szCs w:val="20"/>
          <w:lang w:val="fr-FR"/>
        </w:rPr>
        <w:t xml:space="preserve">égion et </w:t>
      </w:r>
      <w:r w:rsidR="00964E96" w:rsidRPr="00312F81">
        <w:rPr>
          <w:rFonts w:ascii="Arial" w:hAnsi="Arial"/>
          <w:sz w:val="20"/>
          <w:szCs w:val="20"/>
          <w:lang w:val="fr-FR"/>
        </w:rPr>
        <w:t xml:space="preserve">aussi </w:t>
      </w:r>
      <w:r w:rsidR="003343B0" w:rsidRPr="00312F81">
        <w:rPr>
          <w:rFonts w:ascii="Arial" w:hAnsi="Arial"/>
          <w:sz w:val="20"/>
          <w:szCs w:val="20"/>
          <w:lang w:val="fr-FR"/>
        </w:rPr>
        <w:t>de la partie des revenus des ressources naturelles située dans la Région et perçus par l’</w:t>
      </w:r>
      <w:r w:rsidR="00251E90" w:rsidRPr="00312F81">
        <w:rPr>
          <w:rFonts w:ascii="Arial" w:hAnsi="Arial"/>
          <w:sz w:val="20"/>
          <w:szCs w:val="20"/>
          <w:lang w:val="fr-FR"/>
        </w:rPr>
        <w:t xml:space="preserve">État </w:t>
      </w:r>
      <w:r w:rsidR="002B3056" w:rsidRPr="00312F81">
        <w:rPr>
          <w:rFonts w:ascii="Arial" w:hAnsi="Arial"/>
          <w:sz w:val="20"/>
          <w:szCs w:val="20"/>
          <w:lang w:val="fr-FR"/>
        </w:rPr>
        <w:t xml:space="preserve">; </w:t>
      </w:r>
    </w:p>
    <w:p w:rsidR="00C41055" w:rsidRPr="00312F81" w:rsidRDefault="00312F81" w:rsidP="00312F81">
      <w:pPr>
        <w:pStyle w:val="ListParagraph"/>
        <w:numPr>
          <w:ilvl w:val="0"/>
          <w:numId w:val="3"/>
        </w:numPr>
        <w:jc w:val="both"/>
        <w:rPr>
          <w:rFonts w:ascii="Arial" w:hAnsi="Arial"/>
          <w:sz w:val="20"/>
          <w:szCs w:val="20"/>
          <w:lang w:val="fr-FR"/>
        </w:rPr>
      </w:pPr>
      <w:r>
        <w:rPr>
          <w:rFonts w:ascii="Arial" w:hAnsi="Arial"/>
          <w:sz w:val="20"/>
          <w:szCs w:val="20"/>
          <w:lang w:val="fr-FR"/>
        </w:rPr>
        <w:t>la m</w:t>
      </w:r>
      <w:r w:rsidR="00964E96" w:rsidRPr="00312F81">
        <w:rPr>
          <w:rFonts w:ascii="Arial" w:hAnsi="Arial"/>
          <w:sz w:val="20"/>
          <w:szCs w:val="20"/>
          <w:lang w:val="fr-FR"/>
        </w:rPr>
        <w:t xml:space="preserve">ise </w:t>
      </w:r>
      <w:r w:rsidR="00C41055" w:rsidRPr="00312F81">
        <w:rPr>
          <w:rFonts w:ascii="Arial" w:hAnsi="Arial"/>
          <w:sz w:val="20"/>
          <w:szCs w:val="20"/>
          <w:lang w:val="fr-FR"/>
        </w:rPr>
        <w:t>à la disposition de</w:t>
      </w:r>
      <w:r w:rsidR="007307EC" w:rsidRPr="00312F81">
        <w:rPr>
          <w:rFonts w:ascii="Arial" w:hAnsi="Arial"/>
          <w:sz w:val="20"/>
          <w:szCs w:val="20"/>
          <w:lang w:val="fr-FR"/>
        </w:rPr>
        <w:t xml:space="preserve"> la Région des</w:t>
      </w:r>
      <w:r w:rsidR="003343B0" w:rsidRPr="00312F81">
        <w:rPr>
          <w:rFonts w:ascii="Arial" w:hAnsi="Arial"/>
          <w:sz w:val="20"/>
          <w:szCs w:val="20"/>
          <w:lang w:val="fr-FR"/>
        </w:rPr>
        <w:t xml:space="preserve"> ressources nécessaires allouées « dans le cadre de la solidarité nationale. »</w:t>
      </w:r>
      <w:r w:rsidR="007307EC" w:rsidRPr="00312F81">
        <w:rPr>
          <w:rFonts w:ascii="Arial" w:hAnsi="Arial"/>
          <w:sz w:val="20"/>
          <w:szCs w:val="20"/>
          <w:lang w:val="fr-FR"/>
        </w:rPr>
        <w:t xml:space="preserve"> </w:t>
      </w:r>
    </w:p>
    <w:p w:rsidR="003731FB" w:rsidRDefault="007307EC" w:rsidP="00251E90">
      <w:pPr>
        <w:jc w:val="both"/>
        <w:rPr>
          <w:rFonts w:ascii="Arial" w:hAnsi="Arial"/>
          <w:sz w:val="20"/>
          <w:szCs w:val="20"/>
          <w:lang w:val="fr-FR"/>
        </w:rPr>
      </w:pPr>
      <w:r w:rsidRPr="00251E90">
        <w:rPr>
          <w:rFonts w:ascii="Arial" w:hAnsi="Arial"/>
          <w:sz w:val="20"/>
          <w:szCs w:val="20"/>
          <w:lang w:val="fr-FR"/>
        </w:rPr>
        <w:t xml:space="preserve">Constitutionalisée, cette disposition fera vraisemblablement l’objet de négociations </w:t>
      </w:r>
      <w:r w:rsidR="00964E96" w:rsidRPr="00251E90">
        <w:rPr>
          <w:rFonts w:ascii="Arial" w:hAnsi="Arial"/>
          <w:sz w:val="20"/>
          <w:szCs w:val="20"/>
          <w:lang w:val="fr-FR"/>
        </w:rPr>
        <w:t xml:space="preserve">et de décisions </w:t>
      </w:r>
      <w:r w:rsidRPr="00251E90">
        <w:rPr>
          <w:rFonts w:ascii="Arial" w:hAnsi="Arial"/>
          <w:sz w:val="20"/>
          <w:szCs w:val="20"/>
          <w:lang w:val="fr-FR"/>
        </w:rPr>
        <w:t xml:space="preserve">politiques d’importance et, sans doute, de décisions des juridictions constitutionnelles. </w:t>
      </w:r>
      <w:r w:rsidR="009D79D6" w:rsidRPr="00251E90">
        <w:rPr>
          <w:rFonts w:ascii="Arial" w:hAnsi="Arial"/>
          <w:sz w:val="20"/>
          <w:szCs w:val="20"/>
          <w:lang w:val="fr-FR"/>
        </w:rPr>
        <w:t>Il faudra notamment</w:t>
      </w:r>
      <w:r w:rsidR="003731FB">
        <w:rPr>
          <w:rFonts w:ascii="Arial" w:hAnsi="Arial"/>
          <w:sz w:val="20"/>
          <w:szCs w:val="20"/>
          <w:lang w:val="fr-FR"/>
        </w:rPr>
        <w:t> :</w:t>
      </w:r>
    </w:p>
    <w:p w:rsidR="003731FB" w:rsidRDefault="009D79D6" w:rsidP="003731FB">
      <w:pPr>
        <w:pStyle w:val="ListParagraph"/>
        <w:numPr>
          <w:ilvl w:val="0"/>
          <w:numId w:val="4"/>
        </w:numPr>
        <w:jc w:val="both"/>
        <w:rPr>
          <w:rFonts w:ascii="Arial" w:hAnsi="Arial"/>
          <w:sz w:val="20"/>
          <w:szCs w:val="20"/>
          <w:lang w:val="fr-FR"/>
        </w:rPr>
      </w:pPr>
      <w:r w:rsidRPr="003731FB">
        <w:rPr>
          <w:rFonts w:ascii="Arial" w:hAnsi="Arial"/>
          <w:sz w:val="20"/>
          <w:szCs w:val="20"/>
          <w:lang w:val="fr-FR"/>
        </w:rPr>
        <w:t>arrêter l</w:t>
      </w:r>
      <w:r w:rsidR="00AD16B3" w:rsidRPr="003731FB">
        <w:rPr>
          <w:rFonts w:ascii="Arial" w:hAnsi="Arial"/>
          <w:sz w:val="20"/>
          <w:szCs w:val="20"/>
          <w:lang w:val="fr-FR"/>
        </w:rPr>
        <w:t>a composition des</w:t>
      </w:r>
      <w:r w:rsidRPr="003731FB">
        <w:rPr>
          <w:rFonts w:ascii="Arial" w:hAnsi="Arial"/>
          <w:sz w:val="20"/>
          <w:szCs w:val="20"/>
          <w:lang w:val="fr-FR"/>
        </w:rPr>
        <w:t xml:space="preserve"> tables de concertation pour fixer les balises de cette politique de solidarité</w:t>
      </w:r>
      <w:r w:rsidR="00312F81" w:rsidRPr="003731FB">
        <w:rPr>
          <w:rFonts w:ascii="Arial" w:hAnsi="Arial"/>
          <w:sz w:val="20"/>
          <w:szCs w:val="20"/>
          <w:lang w:val="fr-FR"/>
        </w:rPr>
        <w:t> </w:t>
      </w:r>
      <w:r w:rsidR="00AD16B3" w:rsidRPr="003731FB">
        <w:rPr>
          <w:rFonts w:ascii="Arial" w:hAnsi="Arial"/>
          <w:sz w:val="20"/>
          <w:szCs w:val="20"/>
          <w:lang w:val="fr-FR"/>
        </w:rPr>
        <w:t xml:space="preserve">; </w:t>
      </w:r>
    </w:p>
    <w:p w:rsidR="003731FB" w:rsidRDefault="00AD16B3" w:rsidP="003731FB">
      <w:pPr>
        <w:pStyle w:val="ListParagraph"/>
        <w:numPr>
          <w:ilvl w:val="0"/>
          <w:numId w:val="4"/>
        </w:numPr>
        <w:jc w:val="both"/>
        <w:rPr>
          <w:rFonts w:ascii="Arial" w:hAnsi="Arial"/>
          <w:sz w:val="20"/>
          <w:szCs w:val="20"/>
          <w:lang w:val="fr-FR"/>
        </w:rPr>
      </w:pPr>
      <w:r w:rsidRPr="003731FB">
        <w:rPr>
          <w:rFonts w:ascii="Arial" w:hAnsi="Arial"/>
          <w:sz w:val="20"/>
          <w:szCs w:val="20"/>
          <w:lang w:val="fr-FR"/>
        </w:rPr>
        <w:t xml:space="preserve">décider des </w:t>
      </w:r>
      <w:r w:rsidR="009D79D6" w:rsidRPr="003731FB">
        <w:rPr>
          <w:rFonts w:ascii="Arial" w:hAnsi="Arial"/>
          <w:sz w:val="20"/>
          <w:szCs w:val="20"/>
          <w:lang w:val="fr-FR"/>
        </w:rPr>
        <w:t>mécanismes de cette mise à disposition</w:t>
      </w:r>
      <w:r w:rsidR="00312F81" w:rsidRPr="003731FB">
        <w:rPr>
          <w:rFonts w:ascii="Arial" w:hAnsi="Arial"/>
          <w:sz w:val="20"/>
          <w:szCs w:val="20"/>
          <w:lang w:val="fr-FR"/>
        </w:rPr>
        <w:t> :</w:t>
      </w:r>
      <w:r w:rsidR="009D79D6" w:rsidRPr="003731FB">
        <w:rPr>
          <w:rFonts w:ascii="Arial" w:hAnsi="Arial"/>
          <w:sz w:val="20"/>
          <w:szCs w:val="20"/>
          <w:lang w:val="fr-FR"/>
        </w:rPr>
        <w:t xml:space="preserve"> moyenne nationale ou calculs bilatéraux</w:t>
      </w:r>
      <w:r w:rsidRPr="003731FB">
        <w:rPr>
          <w:rFonts w:ascii="Arial" w:hAnsi="Arial"/>
          <w:sz w:val="20"/>
          <w:szCs w:val="20"/>
          <w:lang w:val="fr-FR"/>
        </w:rPr>
        <w:t xml:space="preserve"> comprenant ou non l’inclusion des bénéfices fiscaux découlant de l’exploit</w:t>
      </w:r>
      <w:r w:rsidR="0050011B" w:rsidRPr="003731FB">
        <w:rPr>
          <w:rFonts w:ascii="Arial" w:hAnsi="Arial"/>
          <w:sz w:val="20"/>
          <w:szCs w:val="20"/>
          <w:lang w:val="fr-FR"/>
        </w:rPr>
        <w:t>ation des ressources naturelles</w:t>
      </w:r>
      <w:r w:rsidR="00312F81" w:rsidRPr="003731FB">
        <w:rPr>
          <w:rFonts w:ascii="Arial" w:hAnsi="Arial"/>
          <w:sz w:val="20"/>
          <w:szCs w:val="20"/>
          <w:lang w:val="fr-FR"/>
        </w:rPr>
        <w:t> </w:t>
      </w:r>
      <w:r w:rsidR="0050011B" w:rsidRPr="003731FB">
        <w:rPr>
          <w:rFonts w:ascii="Arial" w:hAnsi="Arial"/>
          <w:sz w:val="20"/>
          <w:szCs w:val="20"/>
          <w:lang w:val="fr-FR"/>
        </w:rPr>
        <w:t>;</w:t>
      </w:r>
      <w:r w:rsidRPr="003731FB">
        <w:rPr>
          <w:rFonts w:ascii="Arial" w:hAnsi="Arial"/>
          <w:sz w:val="20"/>
          <w:szCs w:val="20"/>
          <w:lang w:val="fr-FR"/>
        </w:rPr>
        <w:t xml:space="preserve"> </w:t>
      </w:r>
    </w:p>
    <w:p w:rsidR="003731FB" w:rsidRDefault="003731FB" w:rsidP="003731FB">
      <w:pPr>
        <w:pStyle w:val="ListParagraph"/>
        <w:numPr>
          <w:ilvl w:val="0"/>
          <w:numId w:val="4"/>
        </w:numPr>
        <w:jc w:val="both"/>
        <w:rPr>
          <w:rFonts w:ascii="Arial" w:hAnsi="Arial"/>
          <w:sz w:val="20"/>
          <w:szCs w:val="20"/>
          <w:lang w:val="fr-FR"/>
        </w:rPr>
      </w:pPr>
      <w:r>
        <w:rPr>
          <w:rFonts w:ascii="Arial" w:hAnsi="Arial"/>
          <w:sz w:val="20"/>
          <w:szCs w:val="20"/>
          <w:lang w:val="fr-FR"/>
        </w:rPr>
        <w:t>dé</w:t>
      </w:r>
      <w:r w:rsidR="009D79D6" w:rsidRPr="003731FB">
        <w:rPr>
          <w:rFonts w:ascii="Arial" w:hAnsi="Arial"/>
          <w:sz w:val="20"/>
          <w:szCs w:val="20"/>
          <w:lang w:val="fr-FR"/>
        </w:rPr>
        <w:t>cider de la hauteur de ces transferts</w:t>
      </w:r>
      <w:r w:rsidR="00AD16B3" w:rsidRPr="003731FB">
        <w:rPr>
          <w:rFonts w:ascii="Arial" w:hAnsi="Arial"/>
          <w:sz w:val="20"/>
          <w:szCs w:val="20"/>
          <w:lang w:val="fr-FR"/>
        </w:rPr>
        <w:t>,</w:t>
      </w:r>
      <w:r>
        <w:rPr>
          <w:rFonts w:ascii="Arial" w:hAnsi="Arial"/>
          <w:sz w:val="20"/>
          <w:szCs w:val="20"/>
          <w:lang w:val="fr-FR"/>
        </w:rPr>
        <w:t xml:space="preserve"> </w:t>
      </w:r>
      <w:r w:rsidR="0050011B" w:rsidRPr="003731FB">
        <w:rPr>
          <w:rFonts w:ascii="Arial" w:hAnsi="Arial"/>
          <w:sz w:val="20"/>
          <w:szCs w:val="20"/>
          <w:lang w:val="fr-FR"/>
        </w:rPr>
        <w:t>de leur plafonnement ou non,</w:t>
      </w:r>
      <w:r w:rsidR="00AD16B3" w:rsidRPr="003731FB">
        <w:rPr>
          <w:rFonts w:ascii="Arial" w:hAnsi="Arial"/>
          <w:sz w:val="20"/>
          <w:szCs w:val="20"/>
          <w:lang w:val="fr-FR"/>
        </w:rPr>
        <w:t xml:space="preserve"> de leur</w:t>
      </w:r>
      <w:r w:rsidR="00964E96" w:rsidRPr="003731FB">
        <w:rPr>
          <w:rFonts w:ascii="Arial" w:hAnsi="Arial"/>
          <w:sz w:val="20"/>
          <w:szCs w:val="20"/>
          <w:lang w:val="fr-FR"/>
        </w:rPr>
        <w:t xml:space="preserve"> nature conditionnelle ou non</w:t>
      </w:r>
      <w:r>
        <w:rPr>
          <w:rFonts w:ascii="Arial" w:hAnsi="Arial"/>
          <w:sz w:val="20"/>
          <w:szCs w:val="20"/>
          <w:lang w:val="fr-FR"/>
        </w:rPr>
        <w:t>,</w:t>
      </w:r>
      <w:r w:rsidR="00964E96" w:rsidRPr="003731FB">
        <w:rPr>
          <w:rFonts w:ascii="Arial" w:hAnsi="Arial"/>
          <w:sz w:val="20"/>
          <w:szCs w:val="20"/>
          <w:lang w:val="fr-FR"/>
        </w:rPr>
        <w:t xml:space="preserve"> </w:t>
      </w:r>
    </w:p>
    <w:p w:rsidR="00AD16B3" w:rsidRPr="003731FB" w:rsidRDefault="00964E96" w:rsidP="003731FB">
      <w:pPr>
        <w:pStyle w:val="ListParagraph"/>
        <w:numPr>
          <w:ilvl w:val="0"/>
          <w:numId w:val="4"/>
        </w:numPr>
        <w:jc w:val="both"/>
        <w:rPr>
          <w:rFonts w:ascii="Arial" w:hAnsi="Arial"/>
          <w:sz w:val="20"/>
          <w:szCs w:val="20"/>
          <w:lang w:val="fr-FR"/>
        </w:rPr>
      </w:pPr>
      <w:r w:rsidRPr="003731FB">
        <w:rPr>
          <w:rFonts w:ascii="Arial" w:hAnsi="Arial"/>
          <w:sz w:val="20"/>
          <w:szCs w:val="20"/>
          <w:lang w:val="fr-FR"/>
        </w:rPr>
        <w:t xml:space="preserve">et </w:t>
      </w:r>
      <w:r w:rsidR="009D79D6" w:rsidRPr="003731FB">
        <w:rPr>
          <w:rFonts w:ascii="Arial" w:hAnsi="Arial"/>
          <w:sz w:val="20"/>
          <w:szCs w:val="20"/>
          <w:lang w:val="fr-FR"/>
        </w:rPr>
        <w:t>finalement arrêter le socle d</w:t>
      </w:r>
      <w:r w:rsidR="00AD16B3" w:rsidRPr="003731FB">
        <w:rPr>
          <w:rFonts w:ascii="Arial" w:hAnsi="Arial"/>
          <w:sz w:val="20"/>
          <w:szCs w:val="20"/>
          <w:lang w:val="fr-FR"/>
        </w:rPr>
        <w:t>e cette politique de partage</w:t>
      </w:r>
      <w:r w:rsidR="009D79D6" w:rsidRPr="003731FB">
        <w:rPr>
          <w:rFonts w:ascii="Arial" w:hAnsi="Arial"/>
          <w:sz w:val="20"/>
          <w:szCs w:val="20"/>
          <w:lang w:val="fr-FR"/>
        </w:rPr>
        <w:t>.</w:t>
      </w:r>
    </w:p>
    <w:p w:rsidR="0050011B" w:rsidRPr="00251E90" w:rsidRDefault="003731FB" w:rsidP="00251E90">
      <w:pPr>
        <w:jc w:val="both"/>
        <w:rPr>
          <w:rFonts w:ascii="Arial" w:hAnsi="Arial"/>
          <w:sz w:val="20"/>
          <w:szCs w:val="20"/>
          <w:lang w:val="fr-FR"/>
        </w:rPr>
      </w:pPr>
      <w:r>
        <w:rPr>
          <w:rFonts w:ascii="Arial" w:hAnsi="Arial"/>
          <w:sz w:val="20"/>
          <w:szCs w:val="20"/>
          <w:lang w:val="fr-FR"/>
        </w:rPr>
        <w:t>Cette politique v</w:t>
      </w:r>
      <w:r w:rsidR="009D79D6" w:rsidRPr="00251E90">
        <w:rPr>
          <w:rFonts w:ascii="Arial" w:hAnsi="Arial"/>
          <w:sz w:val="20"/>
          <w:szCs w:val="20"/>
          <w:lang w:val="fr-FR"/>
        </w:rPr>
        <w:t xml:space="preserve">ise-t-elle le développement économique des régions </w:t>
      </w:r>
      <w:r>
        <w:rPr>
          <w:rFonts w:ascii="Arial" w:hAnsi="Arial"/>
          <w:sz w:val="20"/>
          <w:szCs w:val="20"/>
          <w:lang w:val="fr-FR"/>
        </w:rPr>
        <w:t xml:space="preserve">marocaines </w:t>
      </w:r>
      <w:r w:rsidR="009D79D6" w:rsidRPr="00251E90">
        <w:rPr>
          <w:rFonts w:ascii="Arial" w:hAnsi="Arial"/>
          <w:sz w:val="20"/>
          <w:szCs w:val="20"/>
          <w:lang w:val="fr-FR"/>
        </w:rPr>
        <w:t>voire, dans certains cas, leur rattrapage</w:t>
      </w:r>
      <w:r>
        <w:rPr>
          <w:rFonts w:ascii="Arial" w:hAnsi="Arial"/>
          <w:sz w:val="20"/>
          <w:szCs w:val="20"/>
          <w:lang w:val="fr-FR"/>
        </w:rPr>
        <w:t>,</w:t>
      </w:r>
      <w:r w:rsidR="009D79D6" w:rsidRPr="00251E90">
        <w:rPr>
          <w:rFonts w:ascii="Arial" w:hAnsi="Arial"/>
          <w:sz w:val="20"/>
          <w:szCs w:val="20"/>
          <w:lang w:val="fr-FR"/>
        </w:rPr>
        <w:t xml:space="preserve"> ou repose-t-elle sur l’affirmation de l’égalité des citoyens et leurs droits, en conséquence, à disposer de services équivalents peu importe où ils résident dans le </w:t>
      </w:r>
      <w:r>
        <w:rPr>
          <w:rFonts w:ascii="Arial" w:hAnsi="Arial"/>
          <w:sz w:val="20"/>
          <w:szCs w:val="20"/>
          <w:lang w:val="fr-FR"/>
        </w:rPr>
        <w:t>R</w:t>
      </w:r>
      <w:r w:rsidR="009D79D6" w:rsidRPr="00251E90">
        <w:rPr>
          <w:rFonts w:ascii="Arial" w:hAnsi="Arial"/>
          <w:sz w:val="20"/>
          <w:szCs w:val="20"/>
          <w:lang w:val="fr-FR"/>
        </w:rPr>
        <w:t>oyaume?</w:t>
      </w:r>
      <w:r w:rsidR="005C041F" w:rsidRPr="00251E90">
        <w:rPr>
          <w:rFonts w:ascii="Arial" w:hAnsi="Arial"/>
          <w:sz w:val="20"/>
          <w:szCs w:val="20"/>
          <w:lang w:val="fr-FR"/>
        </w:rPr>
        <w:t xml:space="preserve"> </w:t>
      </w:r>
    </w:p>
    <w:p w:rsidR="005C041F" w:rsidRPr="00251E90" w:rsidRDefault="005C041F" w:rsidP="00251E90">
      <w:pPr>
        <w:jc w:val="both"/>
        <w:rPr>
          <w:rFonts w:ascii="Arial" w:hAnsi="Arial"/>
          <w:sz w:val="20"/>
          <w:szCs w:val="20"/>
          <w:lang w:val="fr-FR"/>
        </w:rPr>
      </w:pPr>
      <w:r w:rsidRPr="00251E90">
        <w:rPr>
          <w:rFonts w:ascii="Arial" w:hAnsi="Arial"/>
          <w:sz w:val="20"/>
          <w:szCs w:val="20"/>
          <w:lang w:val="fr-FR"/>
        </w:rPr>
        <w:t xml:space="preserve">Les textes disponibles évoquent une synthèse de ces deux visions. En effet, il y est affirmé que « les citoyens des </w:t>
      </w:r>
      <w:r w:rsidR="00251E90" w:rsidRPr="00251E90">
        <w:rPr>
          <w:rFonts w:ascii="Arial" w:hAnsi="Arial"/>
          <w:sz w:val="20"/>
          <w:szCs w:val="20"/>
          <w:lang w:val="fr-FR"/>
        </w:rPr>
        <w:t>Province</w:t>
      </w:r>
      <w:r w:rsidRPr="00251E90">
        <w:rPr>
          <w:rFonts w:ascii="Arial" w:hAnsi="Arial"/>
          <w:sz w:val="20"/>
          <w:szCs w:val="20"/>
          <w:lang w:val="fr-FR"/>
        </w:rPr>
        <w:t xml:space="preserve">s du Sud sont au centre des préoccupations » et annoncé « la mise en place d’un système économique porteur de croissance, créateur de richesses et générateur d’emplois. » </w:t>
      </w:r>
    </w:p>
    <w:p w:rsidR="000B256B" w:rsidRPr="00251E90" w:rsidRDefault="00AD16B3" w:rsidP="00251E90">
      <w:pPr>
        <w:jc w:val="both"/>
        <w:rPr>
          <w:rFonts w:ascii="Arial" w:hAnsi="Arial"/>
          <w:sz w:val="20"/>
          <w:szCs w:val="20"/>
          <w:lang w:val="fr-FR"/>
        </w:rPr>
      </w:pPr>
      <w:r w:rsidRPr="00251E90">
        <w:rPr>
          <w:rFonts w:ascii="Arial" w:hAnsi="Arial"/>
          <w:sz w:val="20"/>
          <w:szCs w:val="20"/>
          <w:lang w:val="fr-FR"/>
        </w:rPr>
        <w:t xml:space="preserve">Ce qui est acquis est considérable : la solidarité qui se décline par l’assurance que les ressources propres </w:t>
      </w:r>
      <w:r w:rsidR="005C041F" w:rsidRPr="00251E90">
        <w:rPr>
          <w:rFonts w:ascii="Arial" w:hAnsi="Arial"/>
          <w:sz w:val="20"/>
          <w:szCs w:val="20"/>
          <w:lang w:val="fr-FR"/>
        </w:rPr>
        <w:t>aux régions</w:t>
      </w:r>
      <w:r w:rsidRPr="00251E90">
        <w:rPr>
          <w:rFonts w:ascii="Arial" w:hAnsi="Arial"/>
          <w:sz w:val="20"/>
          <w:szCs w:val="20"/>
          <w:lang w:val="fr-FR"/>
        </w:rPr>
        <w:t xml:space="preserve"> s</w:t>
      </w:r>
      <w:r w:rsidR="0050011B" w:rsidRPr="00251E90">
        <w:rPr>
          <w:rFonts w:ascii="Arial" w:hAnsi="Arial"/>
          <w:sz w:val="20"/>
          <w:szCs w:val="20"/>
          <w:lang w:val="fr-FR"/>
        </w:rPr>
        <w:t>ont</w:t>
      </w:r>
      <w:r w:rsidRPr="00251E90">
        <w:rPr>
          <w:rFonts w:ascii="Arial" w:hAnsi="Arial"/>
          <w:sz w:val="20"/>
          <w:szCs w:val="20"/>
          <w:lang w:val="fr-FR"/>
        </w:rPr>
        <w:t xml:space="preserve"> complétées par des appuis financier</w:t>
      </w:r>
      <w:r w:rsidR="0050011B" w:rsidRPr="00251E90">
        <w:rPr>
          <w:rFonts w:ascii="Arial" w:hAnsi="Arial"/>
          <w:sz w:val="20"/>
          <w:szCs w:val="20"/>
          <w:lang w:val="fr-FR"/>
        </w:rPr>
        <w:t>s</w:t>
      </w:r>
      <w:r w:rsidRPr="00251E90">
        <w:rPr>
          <w:rFonts w:ascii="Arial" w:hAnsi="Arial"/>
          <w:sz w:val="20"/>
          <w:szCs w:val="20"/>
          <w:lang w:val="fr-FR"/>
        </w:rPr>
        <w:t xml:space="preserve"> de l’</w:t>
      </w:r>
      <w:r w:rsidR="00251E90" w:rsidRPr="00251E90">
        <w:rPr>
          <w:rFonts w:ascii="Arial" w:hAnsi="Arial"/>
          <w:sz w:val="20"/>
          <w:szCs w:val="20"/>
          <w:lang w:val="fr-FR"/>
        </w:rPr>
        <w:t xml:space="preserve">État </w:t>
      </w:r>
      <w:r w:rsidRPr="00251E90">
        <w:rPr>
          <w:rFonts w:ascii="Arial" w:hAnsi="Arial"/>
          <w:sz w:val="20"/>
          <w:szCs w:val="20"/>
          <w:lang w:val="fr-FR"/>
        </w:rPr>
        <w:t>central à partir des disponibilités du produit national</w:t>
      </w:r>
      <w:r w:rsidR="00396F36" w:rsidRPr="00251E90">
        <w:rPr>
          <w:rFonts w:ascii="Arial" w:hAnsi="Arial"/>
          <w:sz w:val="20"/>
          <w:szCs w:val="20"/>
          <w:lang w:val="fr-FR"/>
        </w:rPr>
        <w:t xml:space="preserve">. </w:t>
      </w:r>
    </w:p>
    <w:p w:rsidR="003731FB" w:rsidRDefault="00396F36" w:rsidP="00251E90">
      <w:pPr>
        <w:jc w:val="both"/>
        <w:rPr>
          <w:rFonts w:ascii="Arial" w:hAnsi="Arial"/>
          <w:sz w:val="20"/>
          <w:szCs w:val="20"/>
          <w:lang w:val="fr-FR"/>
        </w:rPr>
      </w:pPr>
      <w:r w:rsidRPr="00251E90">
        <w:rPr>
          <w:rFonts w:ascii="Arial" w:hAnsi="Arial"/>
          <w:sz w:val="20"/>
          <w:szCs w:val="20"/>
          <w:lang w:val="fr-FR"/>
        </w:rPr>
        <w:t>Cette vision constitue à la fois un vaste levier contre les fluctuations dans le développement et la croissance qui ne manquent pas de se produire et qui affectent alternativement les régions. Elle consacre aussi la citoyenneté commune par le partage des ressources et, en cas de crise régionale par le maintien, grâce à ce partage, des grands programmes économiques, sociaux et écologiques qui autrement pourraient être dévastés</w:t>
      </w:r>
      <w:r w:rsidR="00125A59" w:rsidRPr="00251E90">
        <w:rPr>
          <w:rFonts w:ascii="Arial" w:hAnsi="Arial"/>
          <w:sz w:val="20"/>
          <w:szCs w:val="20"/>
          <w:lang w:val="fr-FR"/>
        </w:rPr>
        <w:t>. Bref,</w:t>
      </w:r>
      <w:r w:rsidRPr="00251E90">
        <w:rPr>
          <w:rFonts w:ascii="Arial" w:hAnsi="Arial"/>
          <w:sz w:val="20"/>
          <w:szCs w:val="20"/>
          <w:lang w:val="fr-FR"/>
        </w:rPr>
        <w:t xml:space="preserve"> la solidarité et la péréquation qui l’</w:t>
      </w:r>
      <w:r w:rsidR="00125A59" w:rsidRPr="00251E90">
        <w:rPr>
          <w:rFonts w:ascii="Arial" w:hAnsi="Arial"/>
          <w:sz w:val="20"/>
          <w:szCs w:val="20"/>
          <w:lang w:val="fr-FR"/>
        </w:rPr>
        <w:t xml:space="preserve">incarne concrètement sont bien davantage que des leviers circonstanciels, ils sont le ciment de la nation, l’une de ses formes achevées. </w:t>
      </w:r>
    </w:p>
    <w:p w:rsidR="00835CB7" w:rsidRPr="00251E90" w:rsidRDefault="00125A59" w:rsidP="00251E90">
      <w:pPr>
        <w:jc w:val="both"/>
        <w:rPr>
          <w:rFonts w:ascii="Arial" w:hAnsi="Arial"/>
          <w:sz w:val="20"/>
          <w:szCs w:val="20"/>
          <w:lang w:val="fr-FR"/>
        </w:rPr>
      </w:pPr>
      <w:r w:rsidRPr="00251E90">
        <w:rPr>
          <w:rFonts w:ascii="Arial" w:hAnsi="Arial"/>
          <w:sz w:val="20"/>
          <w:szCs w:val="20"/>
          <w:lang w:val="fr-FR"/>
        </w:rPr>
        <w:t>Tel</w:t>
      </w:r>
      <w:r w:rsidR="0050011B" w:rsidRPr="00251E90">
        <w:rPr>
          <w:rFonts w:ascii="Arial" w:hAnsi="Arial"/>
          <w:sz w:val="20"/>
          <w:szCs w:val="20"/>
          <w:lang w:val="fr-FR"/>
        </w:rPr>
        <w:t>le</w:t>
      </w:r>
      <w:r w:rsidRPr="00251E90">
        <w:rPr>
          <w:rFonts w:ascii="Arial" w:hAnsi="Arial"/>
          <w:sz w:val="20"/>
          <w:szCs w:val="20"/>
          <w:lang w:val="fr-FR"/>
        </w:rPr>
        <w:t xml:space="preserve"> est notamment la valeur de l’Initiative marocaine pour la négociation d’un statut d’autonomie de la Région du Sahara et ses multiples déclinaisons dont celle qui nous rassemble aujourd’hui.</w:t>
      </w:r>
      <w:r w:rsidR="00396F36" w:rsidRPr="00251E90">
        <w:rPr>
          <w:rFonts w:ascii="Arial" w:hAnsi="Arial"/>
          <w:sz w:val="20"/>
          <w:szCs w:val="20"/>
          <w:lang w:val="fr-FR"/>
        </w:rPr>
        <w:t xml:space="preserve"> </w:t>
      </w:r>
    </w:p>
    <w:sectPr w:rsidR="00835CB7" w:rsidRPr="00251E90" w:rsidSect="00251E90">
      <w:headerReference w:type="default" r:id="rId8"/>
      <w:footerReference w:type="even" r:id="rId9"/>
      <w:footerReference w:type="default" r:id="rId10"/>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F81" w:rsidRDefault="00312F81" w:rsidP="00334CF1">
      <w:pPr>
        <w:spacing w:after="0" w:line="240" w:lineRule="auto"/>
      </w:pPr>
      <w:r>
        <w:separator/>
      </w:r>
    </w:p>
  </w:endnote>
  <w:endnote w:type="continuationSeparator" w:id="0">
    <w:p w:rsidR="00312F81" w:rsidRDefault="00312F81" w:rsidP="00334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F81" w:rsidRDefault="00304481" w:rsidP="00251E90">
    <w:pPr>
      <w:pStyle w:val="Footer"/>
      <w:framePr w:wrap="around" w:vAnchor="text" w:hAnchor="margin" w:xAlign="right" w:y="1"/>
      <w:rPr>
        <w:rStyle w:val="PageNumber"/>
      </w:rPr>
    </w:pPr>
    <w:r>
      <w:rPr>
        <w:rStyle w:val="PageNumber"/>
      </w:rPr>
      <w:fldChar w:fldCharType="begin"/>
    </w:r>
    <w:r w:rsidR="00312F81">
      <w:rPr>
        <w:rStyle w:val="PageNumber"/>
      </w:rPr>
      <w:instrText xml:space="preserve">PAGE  </w:instrText>
    </w:r>
    <w:r>
      <w:rPr>
        <w:rStyle w:val="PageNumber"/>
      </w:rPr>
      <w:fldChar w:fldCharType="end"/>
    </w:r>
  </w:p>
  <w:p w:rsidR="00312F81" w:rsidRDefault="00312F81" w:rsidP="00251E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F81" w:rsidRDefault="00304481" w:rsidP="00251E90">
    <w:pPr>
      <w:pStyle w:val="Footer"/>
      <w:framePr w:wrap="around" w:vAnchor="text" w:hAnchor="margin" w:xAlign="right" w:y="1"/>
      <w:rPr>
        <w:rStyle w:val="PageNumber"/>
      </w:rPr>
    </w:pPr>
    <w:r>
      <w:rPr>
        <w:rStyle w:val="PageNumber"/>
      </w:rPr>
      <w:fldChar w:fldCharType="begin"/>
    </w:r>
    <w:r w:rsidR="00312F81">
      <w:rPr>
        <w:rStyle w:val="PageNumber"/>
      </w:rPr>
      <w:instrText xml:space="preserve">PAGE  </w:instrText>
    </w:r>
    <w:r>
      <w:rPr>
        <w:rStyle w:val="PageNumber"/>
      </w:rPr>
      <w:fldChar w:fldCharType="separate"/>
    </w:r>
    <w:r w:rsidR="003B062D">
      <w:rPr>
        <w:rStyle w:val="PageNumber"/>
        <w:noProof/>
      </w:rPr>
      <w:t>1</w:t>
    </w:r>
    <w:r>
      <w:rPr>
        <w:rStyle w:val="PageNumber"/>
      </w:rPr>
      <w:fldChar w:fldCharType="end"/>
    </w:r>
  </w:p>
  <w:p w:rsidR="00312F81" w:rsidRDefault="00312F81" w:rsidP="00251E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F81" w:rsidRDefault="00312F81" w:rsidP="00334CF1">
      <w:pPr>
        <w:spacing w:after="0" w:line="240" w:lineRule="auto"/>
      </w:pPr>
      <w:r>
        <w:separator/>
      </w:r>
    </w:p>
  </w:footnote>
  <w:footnote w:type="continuationSeparator" w:id="0">
    <w:p w:rsidR="00312F81" w:rsidRDefault="00312F81" w:rsidP="00334CF1">
      <w:pPr>
        <w:spacing w:after="0" w:line="240" w:lineRule="auto"/>
      </w:pPr>
      <w:r>
        <w:continuationSeparator/>
      </w:r>
    </w:p>
  </w:footnote>
  <w:footnote w:id="1">
    <w:p w:rsidR="00312F81" w:rsidRPr="00312F81" w:rsidRDefault="00312F81" w:rsidP="00312F81">
      <w:pPr>
        <w:pStyle w:val="FootnoteText"/>
        <w:spacing w:after="0" w:line="240" w:lineRule="auto"/>
        <w:contextualSpacing/>
        <w:jc w:val="both"/>
        <w:rPr>
          <w:rFonts w:ascii="Arial" w:hAnsi="Arial"/>
          <w:sz w:val="18"/>
          <w:szCs w:val="18"/>
          <w:lang w:val="fr-CH"/>
        </w:rPr>
      </w:pPr>
      <w:r w:rsidRPr="00312F81">
        <w:rPr>
          <w:rStyle w:val="FootnoteReference"/>
          <w:rFonts w:ascii="Arial" w:hAnsi="Arial"/>
          <w:sz w:val="18"/>
          <w:szCs w:val="18"/>
        </w:rPr>
        <w:footnoteRef/>
      </w:r>
      <w:r w:rsidRPr="00312F81">
        <w:rPr>
          <w:rFonts w:ascii="Arial" w:hAnsi="Arial"/>
          <w:sz w:val="18"/>
          <w:szCs w:val="18"/>
          <w:lang w:val="fr-CH"/>
        </w:rPr>
        <w:t xml:space="preserve"> </w:t>
      </w:r>
      <w:r w:rsidRPr="00312F81">
        <w:rPr>
          <w:rFonts w:ascii="Arial" w:hAnsi="Arial"/>
          <w:sz w:val="18"/>
          <w:szCs w:val="18"/>
          <w:lang w:val="fr-CA"/>
        </w:rPr>
        <w:t>Président de Partenariat International et Responsable de l’Observatoire mondial des droits de l’homme.</w:t>
      </w:r>
    </w:p>
  </w:footnote>
  <w:footnote w:id="2">
    <w:p w:rsidR="00312F81" w:rsidRPr="00312F81" w:rsidRDefault="00312F81" w:rsidP="00312F81">
      <w:pPr>
        <w:pStyle w:val="FootnoteText"/>
        <w:spacing w:after="0" w:line="240" w:lineRule="auto"/>
        <w:contextualSpacing/>
        <w:jc w:val="both"/>
        <w:rPr>
          <w:rFonts w:ascii="Arial" w:hAnsi="Arial"/>
          <w:sz w:val="18"/>
          <w:szCs w:val="18"/>
          <w:lang w:val="fr-CA"/>
        </w:rPr>
      </w:pPr>
      <w:r w:rsidRPr="00312F81">
        <w:rPr>
          <w:rStyle w:val="FootnoteReference"/>
          <w:rFonts w:ascii="Arial" w:hAnsi="Arial"/>
          <w:sz w:val="18"/>
          <w:szCs w:val="18"/>
        </w:rPr>
        <w:footnoteRef/>
      </w:r>
      <w:r w:rsidRPr="00312F81">
        <w:rPr>
          <w:rFonts w:ascii="Arial" w:hAnsi="Arial"/>
          <w:sz w:val="18"/>
          <w:szCs w:val="18"/>
          <w:lang w:val="fr-CA"/>
        </w:rPr>
        <w:t xml:space="preserve"> A titre d’exemple, voir La loi canadienne sur la Santé.</w:t>
      </w:r>
    </w:p>
  </w:footnote>
  <w:footnote w:id="3">
    <w:p w:rsidR="00312F81" w:rsidRPr="00312F81" w:rsidRDefault="00312F81" w:rsidP="00312F81">
      <w:pPr>
        <w:pStyle w:val="FootnoteText"/>
        <w:spacing w:after="0" w:line="240" w:lineRule="auto"/>
        <w:contextualSpacing/>
        <w:jc w:val="both"/>
        <w:rPr>
          <w:rFonts w:ascii="Arial" w:hAnsi="Arial"/>
          <w:sz w:val="18"/>
          <w:szCs w:val="18"/>
          <w:lang w:val="fr-CA"/>
        </w:rPr>
      </w:pPr>
      <w:r w:rsidRPr="00312F81">
        <w:rPr>
          <w:rStyle w:val="FootnoteReference"/>
          <w:rFonts w:ascii="Arial" w:hAnsi="Arial"/>
          <w:sz w:val="18"/>
          <w:szCs w:val="18"/>
        </w:rPr>
        <w:footnoteRef/>
      </w:r>
      <w:r w:rsidRPr="00312F81">
        <w:rPr>
          <w:rFonts w:ascii="Arial" w:hAnsi="Arial"/>
          <w:sz w:val="18"/>
          <w:szCs w:val="18"/>
          <w:lang w:val="fr-CA"/>
        </w:rPr>
        <w:t xml:space="preserve"> En place depuis 1985, </w:t>
      </w:r>
      <w:r w:rsidRPr="00312F81">
        <w:rPr>
          <w:rFonts w:ascii="Arial" w:hAnsi="Arial"/>
          <w:color w:val="000000"/>
          <w:sz w:val="18"/>
          <w:szCs w:val="18"/>
          <w:shd w:val="clear" w:color="auto" w:fill="FFFFFF"/>
          <w:lang w:val="fr-CA"/>
        </w:rPr>
        <w:t>la Formule de Financement des Territoires (FFT) vise à combler les écarts pour tenir compte de la situation particulière des Territoires. La subvention versée à chaque Territoire est fondée sur l’écart entre la mesure approximative des besoins du Territoire en matière de dépenses et sa capacité à générer des revenus (revenus admissibles). Les revenus admissibles se composent de deux volets : sept des principales sources de revenus autonomes des Territoires sont mesurées à l’aide d’un régime fiscal représentatif, semblable à celui utilisé pour le Programme de péréquation; les 11 autres sources de revenus font l’objet d’une estimation en bloc</w:t>
      </w:r>
      <w:r w:rsidRPr="00312F81">
        <w:rPr>
          <w:rStyle w:val="apple-converted-space"/>
          <w:rFonts w:ascii="Arial" w:hAnsi="Arial"/>
          <w:color w:val="000000"/>
          <w:sz w:val="18"/>
          <w:szCs w:val="18"/>
          <w:shd w:val="clear" w:color="auto" w:fill="FFFFFF"/>
          <w:lang w:val="fr-CA"/>
        </w:rPr>
        <w:t> (Source : Ministère des Finances du Canada).</w:t>
      </w:r>
    </w:p>
  </w:footnote>
  <w:footnote w:id="4">
    <w:p w:rsidR="00312F81" w:rsidRPr="00312F81" w:rsidRDefault="00312F81" w:rsidP="00312F81">
      <w:pPr>
        <w:pStyle w:val="FootnoteText"/>
        <w:spacing w:after="0" w:line="240" w:lineRule="auto"/>
        <w:contextualSpacing/>
        <w:jc w:val="both"/>
        <w:rPr>
          <w:rFonts w:ascii="Arial" w:hAnsi="Arial"/>
          <w:sz w:val="18"/>
          <w:szCs w:val="18"/>
          <w:lang w:val="fr-CA"/>
        </w:rPr>
      </w:pPr>
      <w:r w:rsidRPr="00312F81">
        <w:rPr>
          <w:rStyle w:val="FootnoteReference"/>
          <w:rFonts w:ascii="Arial" w:hAnsi="Arial"/>
          <w:sz w:val="18"/>
          <w:szCs w:val="18"/>
        </w:rPr>
        <w:footnoteRef/>
      </w:r>
      <w:r w:rsidRPr="00312F81">
        <w:rPr>
          <w:rFonts w:ascii="Arial" w:hAnsi="Arial"/>
          <w:sz w:val="18"/>
          <w:szCs w:val="18"/>
          <w:lang w:val="fr-CA"/>
        </w:rPr>
        <w:t xml:space="preserve"> </w:t>
      </w:r>
      <w:r w:rsidRPr="00312F81">
        <w:rPr>
          <w:rFonts w:ascii="Arial" w:hAnsi="Arial"/>
          <w:i/>
          <w:iCs/>
          <w:sz w:val="18"/>
          <w:szCs w:val="18"/>
          <w:lang w:val="fr-CA"/>
        </w:rPr>
        <w:t xml:space="preserve">Pour réaliser un dessein national: remettre la péréquation sur la bonne voie du Groupe d’experts sur la péréquation et la formule de financement des Territoires, </w:t>
      </w:r>
      <w:r w:rsidRPr="00312F81">
        <w:rPr>
          <w:rFonts w:ascii="Arial" w:hAnsi="Arial"/>
          <w:sz w:val="18"/>
          <w:szCs w:val="18"/>
          <w:lang w:val="fr-CA"/>
        </w:rPr>
        <w:t>présidé par  M. Al O’Brien, ancien sous-trésorier provincial de l’Alberta.</w:t>
      </w:r>
    </w:p>
  </w:footnote>
  <w:footnote w:id="5">
    <w:p w:rsidR="00312F81" w:rsidRPr="00312F81" w:rsidRDefault="00312F81" w:rsidP="00312F81">
      <w:pPr>
        <w:pStyle w:val="FootnoteText"/>
        <w:spacing w:after="0" w:line="240" w:lineRule="auto"/>
        <w:contextualSpacing/>
        <w:jc w:val="both"/>
        <w:rPr>
          <w:rFonts w:ascii="Arial" w:hAnsi="Arial"/>
          <w:sz w:val="18"/>
          <w:szCs w:val="18"/>
          <w:lang w:val="fr-CA"/>
        </w:rPr>
      </w:pPr>
      <w:r w:rsidRPr="00312F81">
        <w:rPr>
          <w:rStyle w:val="FootnoteReference"/>
          <w:rFonts w:ascii="Arial" w:hAnsi="Arial"/>
          <w:sz w:val="18"/>
          <w:szCs w:val="18"/>
        </w:rPr>
        <w:footnoteRef/>
      </w:r>
      <w:r w:rsidRPr="00312F81">
        <w:rPr>
          <w:rFonts w:ascii="Arial" w:hAnsi="Arial"/>
          <w:sz w:val="18"/>
          <w:szCs w:val="18"/>
          <w:lang w:val="fr-CA"/>
        </w:rPr>
        <w:t xml:space="preserve"> Selon le rapport du Groupe d’experts, la péréquation a généralement permis de réduire ces écarts. Depuis 1982, elle a permis de relever la capacité fiscale de la Province la moins bien nantie pour la faire passer d’un niveau situé entre 58 % et 68 % de la moyenne nationale à un niveau situé entre 91 % à 99,7 % de celle-ci. Le rapport souligne néanmoins qu’il faut éviter toutefois de faire un lien direct entre la péréquation et la comparabilité des services et des résultats, alors qu’en fait la péréquation n’est qu’un des nombreux facteurs contribuant aux résultats. Les coûts de prestation des services publics et les résultats socio-économiques des Provinces découlent d’une combinaison complexe de programmes et de choix fédéraux et provinciaux, de tendances sociales et économiques qui débordent largement le cadre de la péréquation. D’ailleurs, la péréquation est après tout un programme inconditionnel qui a pour objet de rendre possible (et non d’imposer) une relative comparabilité des services publics dans une Fédération décentralisée, où les gouvernements provinciaux doivent rendre compte à leurs commettants des choix qu’ils font en matière de services publics et de fiscalité. Il incombe à la Province, et à elle seule, de décider si elle veut offrir des services publics plus que comparables, moins que comparables ou sensiblement comparables. La péréquation devrait donner à une Province les moyens d’opter pour la troisième solution, sans pour autant l’imposer.</w:t>
      </w:r>
    </w:p>
  </w:footnote>
  <w:footnote w:id="6">
    <w:p w:rsidR="00312F81" w:rsidRPr="00312F81" w:rsidRDefault="00312F81" w:rsidP="00312F81">
      <w:pPr>
        <w:pStyle w:val="FootnoteText"/>
        <w:spacing w:after="0" w:line="240" w:lineRule="auto"/>
        <w:contextualSpacing/>
        <w:jc w:val="both"/>
        <w:rPr>
          <w:rFonts w:ascii="Arial" w:hAnsi="Arial"/>
          <w:sz w:val="18"/>
          <w:szCs w:val="18"/>
          <w:lang w:val="fr-CA"/>
        </w:rPr>
      </w:pPr>
      <w:r w:rsidRPr="00312F81">
        <w:rPr>
          <w:rStyle w:val="FootnoteReference"/>
          <w:rFonts w:ascii="Arial" w:hAnsi="Arial"/>
          <w:sz w:val="18"/>
          <w:szCs w:val="18"/>
        </w:rPr>
        <w:footnoteRef/>
      </w:r>
      <w:r w:rsidRPr="00312F81">
        <w:rPr>
          <w:rFonts w:ascii="Arial" w:hAnsi="Arial"/>
          <w:sz w:val="18"/>
          <w:szCs w:val="18"/>
          <w:lang w:val="fr-CA"/>
        </w:rPr>
        <w:t xml:space="preserve"> L’Île du Prince-Édouard (340 millions$), la Nouvelle-Écosse (1 458 millions$), le Nouveau-Brunswick (1 513 millions$), le Québec (7 833 millions$, l’Ontario (3 169 milliards$) et le Manitoba (1 792 millions$).</w:t>
      </w:r>
    </w:p>
  </w:footnote>
  <w:footnote w:id="7">
    <w:p w:rsidR="00312F81" w:rsidRPr="00312F81" w:rsidRDefault="00312F81" w:rsidP="00312F81">
      <w:pPr>
        <w:pStyle w:val="FootnoteText"/>
        <w:spacing w:after="0" w:line="240" w:lineRule="auto"/>
        <w:contextualSpacing/>
        <w:jc w:val="both"/>
        <w:rPr>
          <w:rFonts w:ascii="Arial" w:hAnsi="Arial"/>
          <w:sz w:val="18"/>
          <w:szCs w:val="18"/>
          <w:lang w:val="fr-CA"/>
        </w:rPr>
      </w:pPr>
      <w:r w:rsidRPr="00312F81">
        <w:rPr>
          <w:rStyle w:val="FootnoteReference"/>
          <w:rFonts w:ascii="Arial" w:hAnsi="Arial"/>
          <w:sz w:val="18"/>
          <w:szCs w:val="18"/>
        </w:rPr>
        <w:footnoteRef/>
      </w:r>
      <w:r w:rsidRPr="00312F81">
        <w:rPr>
          <w:rFonts w:ascii="Arial" w:hAnsi="Arial"/>
          <w:sz w:val="18"/>
          <w:szCs w:val="18"/>
          <w:lang w:val="fr-CA"/>
        </w:rPr>
        <w:t xml:space="preserve"> Sont pris en compte les cinq assiettes fiscales suivantes : l’impôt sur le revenu des particuliers, l’impôt sur le revenu des sociétés, les produits des taxes de vente, l’impôt foncier et les revenus tirés de l’exploitation des ressources naturelles. </w:t>
      </w:r>
    </w:p>
  </w:footnote>
  <w:footnote w:id="8">
    <w:p w:rsidR="00312F81" w:rsidRPr="00312F81" w:rsidRDefault="00312F81" w:rsidP="00312F81">
      <w:pPr>
        <w:autoSpaceDE w:val="0"/>
        <w:autoSpaceDN w:val="0"/>
        <w:adjustRightInd w:val="0"/>
        <w:spacing w:after="0" w:line="240" w:lineRule="auto"/>
        <w:contextualSpacing/>
        <w:jc w:val="both"/>
        <w:rPr>
          <w:rFonts w:ascii="Arial" w:hAnsi="Arial"/>
          <w:sz w:val="18"/>
          <w:szCs w:val="18"/>
          <w:lang w:val="fr-CA"/>
        </w:rPr>
      </w:pPr>
      <w:r w:rsidRPr="00312F81">
        <w:rPr>
          <w:rStyle w:val="FootnoteReference"/>
          <w:rFonts w:ascii="Arial" w:hAnsi="Arial"/>
          <w:sz w:val="18"/>
          <w:szCs w:val="18"/>
        </w:rPr>
        <w:footnoteRef/>
      </w:r>
      <w:r w:rsidRPr="00312F81">
        <w:rPr>
          <w:rFonts w:ascii="Arial" w:hAnsi="Arial"/>
          <w:sz w:val="18"/>
          <w:szCs w:val="18"/>
          <w:lang w:val="fr-CA"/>
        </w:rPr>
        <w:t xml:space="preserve"> Cette moyenne de référence était établie préalablement à partir des revenus de deux puis de cinq Provinces. </w:t>
      </w:r>
    </w:p>
  </w:footnote>
  <w:footnote w:id="9">
    <w:p w:rsidR="00312F81" w:rsidRPr="00312F81" w:rsidRDefault="00312F81" w:rsidP="00312F81">
      <w:pPr>
        <w:pStyle w:val="FootnoteText"/>
        <w:spacing w:after="0" w:line="240" w:lineRule="auto"/>
        <w:contextualSpacing/>
        <w:jc w:val="both"/>
        <w:rPr>
          <w:rFonts w:ascii="Arial" w:hAnsi="Arial"/>
          <w:sz w:val="18"/>
          <w:szCs w:val="18"/>
          <w:lang w:val="fr-CA"/>
        </w:rPr>
      </w:pPr>
      <w:r w:rsidRPr="00312F81">
        <w:rPr>
          <w:rStyle w:val="FootnoteReference"/>
          <w:rFonts w:ascii="Arial" w:hAnsi="Arial"/>
          <w:sz w:val="18"/>
          <w:szCs w:val="18"/>
        </w:rPr>
        <w:footnoteRef/>
      </w:r>
      <w:r w:rsidRPr="00312F81">
        <w:rPr>
          <w:rFonts w:ascii="Arial" w:hAnsi="Arial"/>
          <w:sz w:val="18"/>
          <w:szCs w:val="18"/>
          <w:lang w:val="fr-CA"/>
        </w:rPr>
        <w:t xml:space="preserve"> Pétrole, gaz, ressources continentales extracôtières, exploitation forestière, de la potasse ou de </w:t>
      </w:r>
      <w:r>
        <w:rPr>
          <w:rFonts w:ascii="Arial" w:hAnsi="Arial"/>
          <w:sz w:val="18"/>
          <w:szCs w:val="18"/>
          <w:lang w:val="fr-CA"/>
        </w:rPr>
        <w:t>l</w:t>
      </w:r>
      <w:r w:rsidRPr="00312F81">
        <w:rPr>
          <w:rFonts w:ascii="Arial" w:hAnsi="Arial"/>
          <w:sz w:val="18"/>
          <w:szCs w:val="18"/>
          <w:lang w:val="fr-CA"/>
        </w:rPr>
        <w:t>’hydroélectricité</w:t>
      </w:r>
      <w:r>
        <w:rPr>
          <w:rFonts w:ascii="Arial" w:hAnsi="Arial"/>
          <w:sz w:val="18"/>
          <w:szCs w:val="18"/>
          <w:lang w:val="fr-CA"/>
        </w:rPr>
        <w:t>.</w:t>
      </w:r>
    </w:p>
  </w:footnote>
  <w:footnote w:id="10">
    <w:p w:rsidR="00312F81" w:rsidRPr="00312F81" w:rsidRDefault="00312F81" w:rsidP="00312F81">
      <w:pPr>
        <w:pStyle w:val="FootnoteText"/>
        <w:spacing w:after="0" w:line="240" w:lineRule="auto"/>
        <w:contextualSpacing/>
        <w:jc w:val="both"/>
        <w:rPr>
          <w:rFonts w:ascii="Arial" w:hAnsi="Arial"/>
          <w:sz w:val="18"/>
          <w:szCs w:val="18"/>
          <w:lang w:val="fr-CA"/>
        </w:rPr>
      </w:pPr>
      <w:r w:rsidRPr="00312F81">
        <w:rPr>
          <w:rStyle w:val="FootnoteReference"/>
          <w:rFonts w:ascii="Arial" w:hAnsi="Arial"/>
          <w:sz w:val="18"/>
          <w:szCs w:val="18"/>
        </w:rPr>
        <w:footnoteRef/>
      </w:r>
      <w:r w:rsidRPr="00312F81">
        <w:rPr>
          <w:rFonts w:ascii="Arial" w:hAnsi="Arial"/>
          <w:sz w:val="18"/>
          <w:szCs w:val="18"/>
          <w:lang w:val="fr-CA"/>
        </w:rPr>
        <w:t xml:space="preserve"> Ce plafond fait en sorte qu’une Province bénéficiaire ne peut être plus riche que la moyenne des Provinces bénéficiaires. Cette politique prend aussi en compte la croissance des paiements de péréquation (+ 56</w:t>
      </w:r>
      <w:r>
        <w:rPr>
          <w:rFonts w:ascii="Arial" w:hAnsi="Arial"/>
          <w:sz w:val="18"/>
          <w:szCs w:val="18"/>
          <w:lang w:val="fr-CA"/>
        </w:rPr>
        <w:t> </w:t>
      </w:r>
      <w:r w:rsidRPr="00312F81">
        <w:rPr>
          <w:rFonts w:ascii="Arial" w:hAnsi="Arial"/>
          <w:sz w:val="18"/>
          <w:szCs w:val="18"/>
          <w:lang w:val="fr-CA"/>
        </w:rPr>
        <w:t xml:space="preserve">% depuis l’année fiscale 2003-2004), croissance découlant de l’augmentation des revenus provenant de l’exploitation des ressources naturelles.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F81" w:rsidRPr="004318BE" w:rsidRDefault="00312F81" w:rsidP="00251E90">
    <w:pPr>
      <w:spacing w:after="0" w:line="240" w:lineRule="auto"/>
      <w:jc w:val="center"/>
      <w:rPr>
        <w:rFonts w:eastAsia="Times New Roman" w:cs="Times New Roman"/>
        <w:b/>
        <w:sz w:val="20"/>
        <w:szCs w:val="20"/>
        <w:lang w:val="fr-CH"/>
      </w:rPr>
    </w:pPr>
    <w:r w:rsidRPr="004318BE">
      <w:rPr>
        <w:rFonts w:eastAsia="Times New Roman" w:cs="Times New Roman"/>
        <w:b/>
        <w:sz w:val="20"/>
        <w:szCs w:val="20"/>
        <w:lang w:val="fr-CH"/>
      </w:rPr>
      <w:t>Séminaire international de recherche</w:t>
    </w:r>
  </w:p>
  <w:p w:rsidR="00312F81" w:rsidRPr="004318BE" w:rsidRDefault="00312F81" w:rsidP="00251E90">
    <w:pPr>
      <w:spacing w:after="0" w:line="240" w:lineRule="auto"/>
      <w:jc w:val="center"/>
      <w:rPr>
        <w:rFonts w:eastAsia="Times New Roman" w:cs="Times New Roman"/>
        <w:b/>
        <w:smallCaps/>
        <w:sz w:val="20"/>
        <w:szCs w:val="20"/>
        <w:lang w:val="fr-CH"/>
      </w:rPr>
    </w:pPr>
    <w:r w:rsidRPr="004318BE">
      <w:rPr>
        <w:rFonts w:eastAsia="Times New Roman" w:cs="Times New Roman"/>
        <w:b/>
        <w:smallCaps/>
        <w:sz w:val="20"/>
        <w:szCs w:val="20"/>
        <w:lang w:val="fr-CH"/>
      </w:rPr>
      <w:t>« Statuts d’Autonomie et Régionalisation : Solidarité et Péréquation entre Régions »</w:t>
    </w:r>
  </w:p>
  <w:p w:rsidR="00312F81" w:rsidRPr="00AD6759" w:rsidRDefault="00312F81" w:rsidP="00251E90">
    <w:pPr>
      <w:pStyle w:val="Header"/>
      <w:jc w:val="center"/>
      <w:rPr>
        <w:lang w:val="fr-CH"/>
      </w:rPr>
    </w:pPr>
    <w:r w:rsidRPr="004318BE">
      <w:rPr>
        <w:rFonts w:eastAsia="Times New Roman" w:cs="Times New Roman"/>
        <w:sz w:val="20"/>
        <w:szCs w:val="20"/>
        <w:lang w:val="fr-CH"/>
      </w:rPr>
      <w:t>Genève, 1</w:t>
    </w:r>
    <w:r w:rsidRPr="004318BE">
      <w:rPr>
        <w:rFonts w:eastAsia="Times New Roman" w:cs="Times New Roman"/>
        <w:sz w:val="20"/>
        <w:szCs w:val="20"/>
        <w:vertAlign w:val="superscript"/>
        <w:lang w:val="fr-CH"/>
      </w:rPr>
      <w:t>er</w:t>
    </w:r>
    <w:r w:rsidRPr="004318BE">
      <w:rPr>
        <w:rFonts w:eastAsia="Times New Roman" w:cs="Times New Roman"/>
        <w:sz w:val="20"/>
        <w:szCs w:val="20"/>
        <w:lang w:val="fr-CH"/>
      </w:rPr>
      <w:t xml:space="preserve"> juillet 2013</w:t>
    </w:r>
  </w:p>
  <w:p w:rsidR="00312F81" w:rsidRDefault="00312F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51E1B"/>
    <w:multiLevelType w:val="hybridMultilevel"/>
    <w:tmpl w:val="4580C3F4"/>
    <w:lvl w:ilvl="0" w:tplc="EC44B0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8E5351"/>
    <w:multiLevelType w:val="hybridMultilevel"/>
    <w:tmpl w:val="2AEA9F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81B3C3F"/>
    <w:multiLevelType w:val="hybridMultilevel"/>
    <w:tmpl w:val="5EF69702"/>
    <w:lvl w:ilvl="0" w:tplc="5FE2C82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2DEB3FB8"/>
    <w:multiLevelType w:val="hybridMultilevel"/>
    <w:tmpl w:val="7696CC9E"/>
    <w:lvl w:ilvl="0" w:tplc="EC44B0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9EB5B73"/>
    <w:multiLevelType w:val="hybridMultilevel"/>
    <w:tmpl w:val="49FCC0F4"/>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nsid w:val="5DE61D69"/>
    <w:multiLevelType w:val="hybridMultilevel"/>
    <w:tmpl w:val="F3407C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334CF1"/>
    <w:rsid w:val="000A7776"/>
    <w:rsid w:val="000B256B"/>
    <w:rsid w:val="00125A59"/>
    <w:rsid w:val="001A185F"/>
    <w:rsid w:val="00251E90"/>
    <w:rsid w:val="00257853"/>
    <w:rsid w:val="002B3056"/>
    <w:rsid w:val="00304481"/>
    <w:rsid w:val="00312F81"/>
    <w:rsid w:val="003343B0"/>
    <w:rsid w:val="00334CF1"/>
    <w:rsid w:val="003538D9"/>
    <w:rsid w:val="003731FB"/>
    <w:rsid w:val="00396F36"/>
    <w:rsid w:val="003B062D"/>
    <w:rsid w:val="0050011B"/>
    <w:rsid w:val="0052052B"/>
    <w:rsid w:val="005C041F"/>
    <w:rsid w:val="006605BB"/>
    <w:rsid w:val="007307EC"/>
    <w:rsid w:val="007A554C"/>
    <w:rsid w:val="00835CB7"/>
    <w:rsid w:val="008F1B12"/>
    <w:rsid w:val="008F2BF4"/>
    <w:rsid w:val="008F645E"/>
    <w:rsid w:val="00964E96"/>
    <w:rsid w:val="009D79D6"/>
    <w:rsid w:val="00AD16B3"/>
    <w:rsid w:val="00BE74E1"/>
    <w:rsid w:val="00C41055"/>
    <w:rsid w:val="00E03CF2"/>
    <w:rsid w:val="00E22C3C"/>
    <w:rsid w:val="00E77B93"/>
    <w:rsid w:val="00E81EC6"/>
    <w:rsid w:val="00F5234A"/>
    <w:rsid w:val="00F664C3"/>
  </w:rsids>
  <m:mathPr>
    <m:mathFont m:val="Cambria Math"/>
    <m:brkBin m:val="before"/>
    <m:brkBinSub m:val="--"/>
    <m:smallFrac m:val="off"/>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CF1"/>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4CF1"/>
    <w:rPr>
      <w:sz w:val="20"/>
      <w:szCs w:val="20"/>
    </w:rPr>
  </w:style>
  <w:style w:type="character" w:customStyle="1" w:styleId="FootnoteTextChar">
    <w:name w:val="Footnote Text Char"/>
    <w:basedOn w:val="DefaultParagraphFont"/>
    <w:link w:val="FootnoteText"/>
    <w:uiPriority w:val="99"/>
    <w:semiHidden/>
    <w:rsid w:val="00334CF1"/>
    <w:rPr>
      <w:rFonts w:ascii="Calibri" w:eastAsia="Calibri" w:hAnsi="Calibri" w:cs="Arial"/>
      <w:sz w:val="20"/>
      <w:szCs w:val="20"/>
      <w:lang w:val="en-US"/>
    </w:rPr>
  </w:style>
  <w:style w:type="character" w:styleId="FootnoteReference">
    <w:name w:val="footnote reference"/>
    <w:basedOn w:val="DefaultParagraphFont"/>
    <w:uiPriority w:val="99"/>
    <w:semiHidden/>
    <w:unhideWhenUsed/>
    <w:rsid w:val="00334CF1"/>
    <w:rPr>
      <w:vertAlign w:val="superscript"/>
    </w:rPr>
  </w:style>
  <w:style w:type="character" w:customStyle="1" w:styleId="apple-converted-space">
    <w:name w:val="apple-converted-space"/>
    <w:basedOn w:val="DefaultParagraphFont"/>
    <w:rsid w:val="00334CF1"/>
  </w:style>
  <w:style w:type="paragraph" w:styleId="ListParagraph">
    <w:name w:val="List Paragraph"/>
    <w:basedOn w:val="Normal"/>
    <w:uiPriority w:val="34"/>
    <w:qFormat/>
    <w:rsid w:val="0052052B"/>
    <w:pPr>
      <w:ind w:left="720"/>
      <w:contextualSpacing/>
    </w:pPr>
  </w:style>
  <w:style w:type="paragraph" w:styleId="Header">
    <w:name w:val="header"/>
    <w:basedOn w:val="Normal"/>
    <w:link w:val="HeaderChar"/>
    <w:uiPriority w:val="99"/>
    <w:unhideWhenUsed/>
    <w:rsid w:val="00251E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1E90"/>
    <w:rPr>
      <w:rFonts w:ascii="Calibri" w:eastAsia="Calibri" w:hAnsi="Calibri" w:cs="Arial"/>
      <w:lang w:val="en-US"/>
    </w:rPr>
  </w:style>
  <w:style w:type="paragraph" w:styleId="Footer">
    <w:name w:val="footer"/>
    <w:basedOn w:val="Normal"/>
    <w:link w:val="FooterChar"/>
    <w:uiPriority w:val="99"/>
    <w:unhideWhenUsed/>
    <w:rsid w:val="00251E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1E90"/>
    <w:rPr>
      <w:rFonts w:ascii="Calibri" w:eastAsia="Calibri" w:hAnsi="Calibri" w:cs="Arial"/>
      <w:lang w:val="en-US"/>
    </w:rPr>
  </w:style>
  <w:style w:type="character" w:styleId="PageNumber">
    <w:name w:val="page number"/>
    <w:basedOn w:val="DefaultParagraphFont"/>
    <w:uiPriority w:val="99"/>
    <w:semiHidden/>
    <w:unhideWhenUsed/>
    <w:rsid w:val="00251E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CF1"/>
    <w:rPr>
      <w:rFonts w:ascii="Calibri" w:eastAsia="Calibri" w:hAnsi="Calibri"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34CF1"/>
    <w:rPr>
      <w:sz w:val="20"/>
      <w:szCs w:val="20"/>
    </w:rPr>
  </w:style>
  <w:style w:type="character" w:customStyle="1" w:styleId="NotedebasdepageCar">
    <w:name w:val="Note de bas de page Car"/>
    <w:basedOn w:val="Policepardfaut"/>
    <w:link w:val="Notedebasdepage"/>
    <w:uiPriority w:val="99"/>
    <w:semiHidden/>
    <w:rsid w:val="00334CF1"/>
    <w:rPr>
      <w:rFonts w:ascii="Calibri" w:eastAsia="Calibri" w:hAnsi="Calibri" w:cs="Arial"/>
      <w:sz w:val="20"/>
      <w:szCs w:val="20"/>
      <w:lang w:val="en-US"/>
    </w:rPr>
  </w:style>
  <w:style w:type="character" w:styleId="Marquenotebasdepage">
    <w:name w:val="footnote reference"/>
    <w:basedOn w:val="Policepardfaut"/>
    <w:uiPriority w:val="99"/>
    <w:semiHidden/>
    <w:unhideWhenUsed/>
    <w:rsid w:val="00334CF1"/>
    <w:rPr>
      <w:vertAlign w:val="superscript"/>
    </w:rPr>
  </w:style>
  <w:style w:type="character" w:customStyle="1" w:styleId="apple-converted-space">
    <w:name w:val="apple-converted-space"/>
    <w:basedOn w:val="Policepardfaut"/>
    <w:rsid w:val="00334CF1"/>
  </w:style>
  <w:style w:type="paragraph" w:styleId="Paragraphedeliste">
    <w:name w:val="List Paragraph"/>
    <w:basedOn w:val="Normal"/>
    <w:uiPriority w:val="34"/>
    <w:qFormat/>
    <w:rsid w:val="0052052B"/>
    <w:pPr>
      <w:ind w:left="720"/>
      <w:contextualSpacing/>
    </w:pPr>
  </w:style>
  <w:style w:type="paragraph" w:styleId="En-tte">
    <w:name w:val="header"/>
    <w:basedOn w:val="Normal"/>
    <w:link w:val="En-tteCar"/>
    <w:uiPriority w:val="99"/>
    <w:unhideWhenUsed/>
    <w:rsid w:val="00251E90"/>
    <w:pPr>
      <w:tabs>
        <w:tab w:val="center" w:pos="4536"/>
        <w:tab w:val="right" w:pos="9072"/>
      </w:tabs>
      <w:spacing w:after="0" w:line="240" w:lineRule="auto"/>
    </w:pPr>
  </w:style>
  <w:style w:type="character" w:customStyle="1" w:styleId="En-tteCar">
    <w:name w:val="En-tête Car"/>
    <w:basedOn w:val="Policepardfaut"/>
    <w:link w:val="En-tte"/>
    <w:uiPriority w:val="99"/>
    <w:rsid w:val="00251E90"/>
    <w:rPr>
      <w:rFonts w:ascii="Calibri" w:eastAsia="Calibri" w:hAnsi="Calibri" w:cs="Arial"/>
      <w:lang w:val="en-US"/>
    </w:rPr>
  </w:style>
  <w:style w:type="paragraph" w:styleId="Pieddepage">
    <w:name w:val="footer"/>
    <w:basedOn w:val="Normal"/>
    <w:link w:val="PieddepageCar"/>
    <w:uiPriority w:val="99"/>
    <w:unhideWhenUsed/>
    <w:rsid w:val="00251E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1E90"/>
    <w:rPr>
      <w:rFonts w:ascii="Calibri" w:eastAsia="Calibri" w:hAnsi="Calibri" w:cs="Arial"/>
      <w:lang w:val="en-US"/>
    </w:rPr>
  </w:style>
  <w:style w:type="character" w:styleId="Numrodepage">
    <w:name w:val="page number"/>
    <w:basedOn w:val="Policepardfaut"/>
    <w:uiPriority w:val="99"/>
    <w:semiHidden/>
    <w:unhideWhenUsed/>
    <w:rsid w:val="00251E90"/>
  </w:style>
</w:styles>
</file>

<file path=word/webSettings.xml><?xml version="1.0" encoding="utf-8"?>
<w:webSettings xmlns:r="http://schemas.openxmlformats.org/officeDocument/2006/relationships" xmlns:w="http://schemas.openxmlformats.org/wordprocessingml/2006/main">
  <w:divs>
    <w:div w:id="156179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1575-FCA7-4402-A11C-3275772C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2245</Words>
  <Characters>12802</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finaum</cp:lastModifiedBy>
  <cp:revision>3</cp:revision>
  <cp:lastPrinted>2013-06-27T08:43:00Z</cp:lastPrinted>
  <dcterms:created xsi:type="dcterms:W3CDTF">2013-06-22T13:07:00Z</dcterms:created>
  <dcterms:modified xsi:type="dcterms:W3CDTF">2013-06-27T08:43:00Z</dcterms:modified>
</cp:coreProperties>
</file>